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A7C13" w14:textId="1944CC0F" w:rsidR="00422A2C" w:rsidRDefault="00A06B34" w:rsidP="00CD723A">
      <w:pPr>
        <w:rPr>
          <w:lang w:val="nl-BE"/>
        </w:rPr>
      </w:pPr>
      <w:r w:rsidRPr="0099277C">
        <w:rPr>
          <w:lang w:val="nl-BE"/>
        </w:rPr>
        <w:t>Boulogne-Billancourt, 1</w:t>
      </w:r>
      <w:r w:rsidR="006E101C">
        <w:rPr>
          <w:lang w:val="nl-BE"/>
        </w:rPr>
        <w:t xml:space="preserve">8 </w:t>
      </w:r>
      <w:r w:rsidRPr="0099277C">
        <w:rPr>
          <w:lang w:val="nl-BE"/>
        </w:rPr>
        <w:t>september 2024</w:t>
      </w:r>
    </w:p>
    <w:p w14:paraId="23260E80" w14:textId="77777777" w:rsidR="006E101C" w:rsidRPr="0099277C" w:rsidRDefault="006E101C" w:rsidP="00CD723A"/>
    <w:p w14:paraId="5786C209" w14:textId="77777777" w:rsidR="00543036" w:rsidRPr="0099277C" w:rsidRDefault="00991878" w:rsidP="00752921">
      <w:r w:rsidRPr="0099277C">
        <w:rPr>
          <w:noProof/>
          <w:lang w:val="nl-BE"/>
        </w:rPr>
        <mc:AlternateContent>
          <mc:Choice Requires="wps">
            <w:drawing>
              <wp:inline distT="0" distB="0" distL="0" distR="0" wp14:anchorId="208E4866" wp14:editId="0D7C2E59">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99454B" w14:textId="77777777" w:rsidR="001174CD" w:rsidRDefault="001174CD" w:rsidP="008C4C01">
                            <w:pPr>
                              <w:pStyle w:val="Subtitle"/>
                            </w:pPr>
                            <w:r>
                              <w:rPr>
                                <w:bCs/>
                                <w:lang w:val="nl-BE"/>
                              </w:rPr>
                              <w:t>PERSBERICHT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08E4866"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" fillcolor="#00a76c [3204]" stroked="f" strokeweight=".25pt">
                <v:textbox inset="0,0,0,0">
                  <w:txbxContent>
                    <w:p w14:paraId="7399454B" w14:textId="77777777" w:rsidR="001174CD" w:rsidRDefault="001174CD" w:rsidP="008C4C01">
                      <w:pPr>
                        <w:pStyle w:val="Subtitle"/>
                      </w:pPr>
                      <w:r>
                        <w:rPr>
                          <w:bCs/>
                          <w:lang w:val="nl-BE"/>
                        </w:rPr>
                        <w:t>PERSBERICHT</w:t>
                      </w:r>
                    </w:p>
                  </w:txbxContent>
                </v:textbox>
                <w10:anchorlock/>
              </v:rect>
            </w:pict>
          </mc:Fallback>
        </mc:AlternateContent>
      </w:r>
    </w:p>
    <w:p w14:paraId="7D4A0A58" w14:textId="77777777" w:rsidR="006E101C" w:rsidRDefault="006E101C" w:rsidP="007750B8">
      <w:pPr>
        <w:spacing w:line="240" w:lineRule="auto"/>
        <w:rPr>
          <w:b/>
          <w:bCs/>
          <w:caps/>
          <w:lang w:val="nl-BE"/>
        </w:rPr>
      </w:pPr>
    </w:p>
    <w:p w14:paraId="35768098" w14:textId="7F550FBF" w:rsidR="007750B8" w:rsidRPr="0099277C" w:rsidRDefault="007750B8" w:rsidP="007750B8">
      <w:pPr>
        <w:spacing w:line="240" w:lineRule="auto"/>
        <w:rPr>
          <w:b/>
          <w:bCs/>
          <w:caps/>
          <w:lang w:val="nl-BE"/>
        </w:rPr>
      </w:pPr>
      <w:r w:rsidRPr="0099277C">
        <w:rPr>
          <w:b/>
          <w:bCs/>
          <w:caps/>
          <w:lang w:val="nl-BE"/>
        </w:rPr>
        <w:t>Logistieke huurdersmarkt in 2024: Het gebrek aan nieuwe ontwikkelingen blijft de huurgroei in topsectoren ondersteunen</w:t>
      </w:r>
    </w:p>
    <w:p w14:paraId="1E30246F" w14:textId="77777777" w:rsidR="007750B8" w:rsidRPr="0099277C" w:rsidRDefault="007750B8" w:rsidP="007750B8">
      <w:pPr>
        <w:spacing w:line="240" w:lineRule="auto"/>
        <w:rPr>
          <w:b/>
          <w:bCs/>
          <w:caps/>
          <w:color w:val="0070C0"/>
          <w:lang w:val="nl-BE"/>
        </w:rPr>
      </w:pPr>
    </w:p>
    <w:p w14:paraId="37F2684D" w14:textId="028AFF5D" w:rsidR="007750B8" w:rsidRPr="0099277C" w:rsidRDefault="00DF3FA5" w:rsidP="007750B8">
      <w:pPr>
        <w:spacing w:line="240" w:lineRule="auto"/>
        <w:rPr>
          <w:sz w:val="22"/>
          <w:szCs w:val="18"/>
          <w:lang w:val="nl-BE"/>
        </w:rPr>
      </w:pPr>
      <w:r w:rsidRPr="0099277C">
        <w:rPr>
          <w:b/>
          <w:bCs/>
          <w:sz w:val="22"/>
          <w:szCs w:val="18"/>
          <w:lang w:val="nl-BE"/>
        </w:rPr>
        <w:t>De logistieke verhuurmarkten</w:t>
      </w:r>
      <w:r w:rsidRPr="0099277C">
        <w:rPr>
          <w:sz w:val="22"/>
          <w:szCs w:val="18"/>
          <w:lang w:val="nl-BE"/>
        </w:rPr>
        <w:t xml:space="preserve"> </w:t>
      </w:r>
      <w:r w:rsidRPr="0099277C">
        <w:rPr>
          <w:b/>
          <w:bCs/>
          <w:sz w:val="22"/>
          <w:szCs w:val="18"/>
          <w:lang w:val="nl-BE"/>
        </w:rPr>
        <w:t>hebben over het algemeen goed standgehouden, ondanks de zwakke economische groei</w:t>
      </w:r>
      <w:r w:rsidRPr="0099277C">
        <w:rPr>
          <w:sz w:val="22"/>
          <w:szCs w:val="18"/>
          <w:lang w:val="nl-BE"/>
        </w:rPr>
        <w:t xml:space="preserve"> </w:t>
      </w:r>
      <w:r w:rsidRPr="0099277C">
        <w:rPr>
          <w:b/>
          <w:bCs/>
          <w:sz w:val="22"/>
          <w:szCs w:val="18"/>
          <w:lang w:val="nl-BE"/>
        </w:rPr>
        <w:t>die naar verwachting positief zal blijven in 2024</w:t>
      </w:r>
      <w:r w:rsidRPr="0099277C">
        <w:rPr>
          <w:sz w:val="22"/>
          <w:szCs w:val="18"/>
          <w:lang w:val="nl-BE"/>
        </w:rPr>
        <w:t>. De bbp-groei in de eurozone begon namelijk aan het begin van het jaar aan te trekken, van +0,5% in 2023 tot de voorspelde +0,8% in 2024.</w:t>
      </w:r>
    </w:p>
    <w:p w14:paraId="699831BB" w14:textId="403FCAFF" w:rsidR="007750B8" w:rsidRPr="0099277C" w:rsidRDefault="007750B8" w:rsidP="007750B8">
      <w:pPr>
        <w:spacing w:line="240" w:lineRule="auto"/>
        <w:rPr>
          <w:sz w:val="22"/>
          <w:szCs w:val="18"/>
          <w:lang w:val="nl-BE"/>
        </w:rPr>
      </w:pPr>
      <w:r w:rsidRPr="0099277C">
        <w:rPr>
          <w:sz w:val="22"/>
          <w:szCs w:val="18"/>
          <w:lang w:val="nl-BE"/>
        </w:rPr>
        <w:t>De vastgoedgebruikers maken zich zorgen over de kostenbeheersing in een nog steeds zwakke economie en dit vertraagt de expansie. In H1 2024 daalde de markt met 5% ten opzichte van H1 2023. De vraag bleef achter en de meeste landen noteerden een trage start van het jaar. Toch blijven de fundamentele marktfactoren gezond ondanks het stijgende aanbod in sommige landen en er zijn tekenen dat de voorraden in de tweede helft van 2025 zullen toenemen.</w:t>
      </w:r>
    </w:p>
    <w:p w14:paraId="79D68D29" w14:textId="77777777" w:rsidR="00A543A5" w:rsidRPr="0099277C" w:rsidRDefault="00A543A5" w:rsidP="007750B8">
      <w:pPr>
        <w:spacing w:line="240" w:lineRule="auto"/>
        <w:rPr>
          <w:noProof/>
          <w:sz w:val="22"/>
          <w:szCs w:val="18"/>
          <w:lang w:val="nl-BE"/>
        </w:rPr>
      </w:pPr>
    </w:p>
    <w:p w14:paraId="2CEB59D8" w14:textId="72255855" w:rsidR="00DF3FA5" w:rsidRPr="0099277C" w:rsidRDefault="00DF3FA5" w:rsidP="006E101C">
      <w:pPr>
        <w:spacing w:line="240" w:lineRule="auto"/>
        <w:jc w:val="center"/>
        <w:rPr>
          <w:sz w:val="22"/>
          <w:szCs w:val="18"/>
        </w:rPr>
      </w:pPr>
      <w:r w:rsidRPr="0099277C">
        <w:rPr>
          <w:noProof/>
          <w:sz w:val="22"/>
          <w:szCs w:val="18"/>
          <w:lang w:val="nl-BE"/>
        </w:rPr>
        <w:drawing>
          <wp:inline distT="0" distB="0" distL="0" distR="0" wp14:anchorId="1DBA9C48" wp14:editId="77813F26">
            <wp:extent cx="5084128" cy="1244127"/>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13886" cy="1251409"/>
                    </a:xfrm>
                    <a:prstGeom prst="rect">
                      <a:avLst/>
                    </a:prstGeom>
                  </pic:spPr>
                </pic:pic>
              </a:graphicData>
            </a:graphic>
          </wp:inline>
        </w:drawing>
      </w:r>
    </w:p>
    <w:p w14:paraId="03133B32" w14:textId="77777777" w:rsidR="00871CA7" w:rsidRPr="0099277C" w:rsidRDefault="00871CA7" w:rsidP="007750B8">
      <w:pPr>
        <w:spacing w:line="240" w:lineRule="auto"/>
        <w:rPr>
          <w:sz w:val="22"/>
          <w:szCs w:val="18"/>
        </w:rPr>
      </w:pPr>
    </w:p>
    <w:p w14:paraId="251DC2B1" w14:textId="591E01AD" w:rsidR="00871CA7" w:rsidRPr="0099277C" w:rsidRDefault="00871CA7" w:rsidP="006E101C">
      <w:pPr>
        <w:pStyle w:val="ListParagraph"/>
        <w:numPr>
          <w:ilvl w:val="0"/>
          <w:numId w:val="7"/>
        </w:numPr>
        <w:spacing w:line="240" w:lineRule="auto"/>
        <w:ind w:left="426" w:hanging="426"/>
        <w:rPr>
          <w:sz w:val="22"/>
          <w:szCs w:val="18"/>
          <w:lang w:val="nl-BE"/>
        </w:rPr>
      </w:pPr>
      <w:r w:rsidRPr="0099277C">
        <w:rPr>
          <w:b/>
          <w:bCs/>
          <w:sz w:val="22"/>
          <w:szCs w:val="18"/>
          <w:lang w:val="nl-BE"/>
        </w:rPr>
        <w:t xml:space="preserve">In Duitsland </w:t>
      </w:r>
      <w:r w:rsidRPr="0099277C">
        <w:rPr>
          <w:sz w:val="22"/>
          <w:szCs w:val="18"/>
          <w:lang w:val="nl-BE"/>
        </w:rPr>
        <w:t xml:space="preserve">herstelde de markt zich in het tweede kwartaal van 2024, na een voorzichtig jaarbegin, en dit vooral buiten de belangrijkste logistieke centra. De zwakke conjunctuur blijft de vraag vertragen. Het gebrek aan beschikbare ruimte is in sommige markten nog steeds een beperkende factor, wat op zijn beurt de huurgroei heeft bevorderd. </w:t>
      </w:r>
    </w:p>
    <w:p w14:paraId="01C2D952" w14:textId="77777777" w:rsidR="00871CA7" w:rsidRPr="0099277C" w:rsidRDefault="00871CA7" w:rsidP="006E101C">
      <w:pPr>
        <w:spacing w:line="240" w:lineRule="auto"/>
        <w:ind w:left="426" w:hanging="426"/>
        <w:rPr>
          <w:sz w:val="22"/>
          <w:szCs w:val="18"/>
          <w:lang w:val="nl-BE"/>
        </w:rPr>
      </w:pPr>
    </w:p>
    <w:p w14:paraId="2B17CA2D" w14:textId="31FC43A9" w:rsidR="00871CA7" w:rsidRPr="0099277C" w:rsidRDefault="00871CA7" w:rsidP="006E101C">
      <w:pPr>
        <w:pStyle w:val="ListParagraph"/>
        <w:numPr>
          <w:ilvl w:val="0"/>
          <w:numId w:val="7"/>
        </w:numPr>
        <w:spacing w:line="240" w:lineRule="auto"/>
        <w:ind w:left="426" w:hanging="426"/>
        <w:rPr>
          <w:sz w:val="22"/>
          <w:szCs w:val="18"/>
          <w:lang w:val="nl-BE"/>
        </w:rPr>
      </w:pPr>
      <w:r w:rsidRPr="0099277C">
        <w:rPr>
          <w:b/>
          <w:bCs/>
          <w:sz w:val="22"/>
          <w:szCs w:val="18"/>
          <w:lang w:val="nl-BE"/>
        </w:rPr>
        <w:t xml:space="preserve">In het Verenigd Koninkrijk </w:t>
      </w:r>
      <w:r w:rsidRPr="0099277C">
        <w:rPr>
          <w:sz w:val="22"/>
          <w:szCs w:val="18"/>
          <w:lang w:val="nl-BE"/>
        </w:rPr>
        <w:t xml:space="preserve">bereikte de markt een dieptepunt in </w:t>
      </w:r>
      <w:r w:rsidR="006E101C">
        <w:rPr>
          <w:sz w:val="22"/>
          <w:szCs w:val="18"/>
          <w:lang w:val="nl-BE"/>
        </w:rPr>
        <w:t>Q2</w:t>
      </w:r>
      <w:r w:rsidRPr="0099277C">
        <w:rPr>
          <w:sz w:val="22"/>
          <w:szCs w:val="18"/>
          <w:lang w:val="nl-BE"/>
        </w:rPr>
        <w:t xml:space="preserve"> van 2023 en heeft zich sindsdien weten te herstellen. De opname steeg in </w:t>
      </w:r>
      <w:r w:rsidR="006E101C">
        <w:rPr>
          <w:sz w:val="22"/>
          <w:szCs w:val="18"/>
          <w:lang w:val="nl-BE"/>
        </w:rPr>
        <w:t>H1</w:t>
      </w:r>
      <w:r w:rsidRPr="0099277C">
        <w:rPr>
          <w:sz w:val="22"/>
          <w:szCs w:val="18"/>
          <w:lang w:val="nl-BE"/>
        </w:rPr>
        <w:t xml:space="preserve"> van 2024, ondersteund door een sterke vraag vanuit de voedingsmiddelen- en drankindustrie en in het bijzonder een aanhoudende logistieke vraag in de Midlands. Het aanbod stabiliseert nadat het twee jaar lang in stijgende lijn ging. Er is nog steeds een tekort aan speculatief ontwikkelde nieuwe eenheden.</w:t>
      </w:r>
    </w:p>
    <w:p w14:paraId="4AB3DA58" w14:textId="77777777" w:rsidR="00871CA7" w:rsidRPr="0099277C" w:rsidRDefault="00871CA7" w:rsidP="006E101C">
      <w:pPr>
        <w:spacing w:line="240" w:lineRule="auto"/>
        <w:ind w:left="426" w:hanging="426"/>
        <w:rPr>
          <w:sz w:val="22"/>
          <w:szCs w:val="18"/>
          <w:lang w:val="nl-BE"/>
        </w:rPr>
      </w:pPr>
    </w:p>
    <w:p w14:paraId="70CC4313" w14:textId="1B72B686" w:rsidR="00871CA7" w:rsidRPr="0099277C" w:rsidRDefault="00871CA7" w:rsidP="006E101C">
      <w:pPr>
        <w:pStyle w:val="ListParagraph"/>
        <w:numPr>
          <w:ilvl w:val="0"/>
          <w:numId w:val="7"/>
        </w:numPr>
        <w:spacing w:line="240" w:lineRule="auto"/>
        <w:ind w:left="426" w:hanging="426"/>
        <w:rPr>
          <w:sz w:val="22"/>
          <w:szCs w:val="18"/>
        </w:rPr>
      </w:pPr>
      <w:r w:rsidRPr="0099277C">
        <w:rPr>
          <w:b/>
          <w:bCs/>
          <w:sz w:val="22"/>
          <w:szCs w:val="18"/>
          <w:lang w:val="nl-BE"/>
        </w:rPr>
        <w:t xml:space="preserve">In Frankrijk </w:t>
      </w:r>
      <w:r w:rsidRPr="0099277C">
        <w:rPr>
          <w:sz w:val="22"/>
          <w:szCs w:val="18"/>
          <w:lang w:val="nl-BE"/>
        </w:rPr>
        <w:t xml:space="preserve">was de marktvertraging in </w:t>
      </w:r>
      <w:r w:rsidR="006E101C">
        <w:rPr>
          <w:sz w:val="22"/>
          <w:szCs w:val="18"/>
          <w:lang w:val="nl-BE"/>
        </w:rPr>
        <w:t>H1</w:t>
      </w:r>
      <w:r w:rsidRPr="0099277C">
        <w:rPr>
          <w:sz w:val="22"/>
          <w:szCs w:val="18"/>
          <w:lang w:val="nl-BE"/>
        </w:rPr>
        <w:t xml:space="preserve"> van 2024 niet verrassend, gezien de nog steeds traag groeiende economie. De vraag daalde aanzienlijk in de regio van Parijs en ook in Marseille en Lyon, waar het aantal transacties ver onder het gemiddelde lag. Rijsel en Orléans waren daarentegen goed voor bijna de helft van het Franse transactievolume tijdens de eerste helft van het jaar. Over het algemeen wordt de grond schaars en in sommige markten is het gebrek aan aanbod een terugkerend fenomeen geworden. De leegstand in Frankrijk bedroeg midden dit jaar 4,1%.</w:t>
      </w:r>
    </w:p>
    <w:p w14:paraId="67361953" w14:textId="77777777" w:rsidR="00871CA7" w:rsidRPr="0099277C" w:rsidRDefault="00871CA7" w:rsidP="006E101C">
      <w:pPr>
        <w:spacing w:line="240" w:lineRule="auto"/>
        <w:ind w:left="426" w:hanging="426"/>
        <w:rPr>
          <w:sz w:val="22"/>
          <w:szCs w:val="18"/>
        </w:rPr>
      </w:pPr>
    </w:p>
    <w:p w14:paraId="217674DF" w14:textId="1A66AFAE" w:rsidR="00871CA7" w:rsidRPr="0099277C" w:rsidRDefault="00871CA7" w:rsidP="006E101C">
      <w:pPr>
        <w:pStyle w:val="ListParagraph"/>
        <w:numPr>
          <w:ilvl w:val="0"/>
          <w:numId w:val="7"/>
        </w:numPr>
        <w:spacing w:line="240" w:lineRule="auto"/>
        <w:ind w:left="426" w:hanging="426"/>
        <w:rPr>
          <w:sz w:val="22"/>
          <w:szCs w:val="18"/>
          <w:lang w:val="nl-BE"/>
        </w:rPr>
      </w:pPr>
      <w:r w:rsidRPr="0099277C">
        <w:rPr>
          <w:b/>
          <w:bCs/>
          <w:sz w:val="22"/>
          <w:szCs w:val="18"/>
          <w:lang w:val="nl-BE"/>
        </w:rPr>
        <w:t xml:space="preserve">Nederland </w:t>
      </w:r>
      <w:r w:rsidRPr="0099277C">
        <w:rPr>
          <w:sz w:val="22"/>
          <w:szCs w:val="18"/>
          <w:lang w:val="nl-BE"/>
        </w:rPr>
        <w:t xml:space="preserve">noteerde, net als de meeste Europese landen, een trage start in </w:t>
      </w:r>
      <w:r w:rsidR="006E101C">
        <w:rPr>
          <w:sz w:val="22"/>
          <w:szCs w:val="18"/>
          <w:lang w:val="nl-BE"/>
        </w:rPr>
        <w:t>H1</w:t>
      </w:r>
      <w:r w:rsidRPr="0099277C">
        <w:rPr>
          <w:sz w:val="22"/>
          <w:szCs w:val="18"/>
          <w:lang w:val="nl-BE"/>
        </w:rPr>
        <w:t xml:space="preserve"> van 2024. Hoge grondprijzen en ontwikkelingskosten remmen nieuwe projecten af. De lage beschikbaarheid zet de huurprijzen nog steeds onder druk.</w:t>
      </w:r>
    </w:p>
    <w:p w14:paraId="586E622E" w14:textId="77777777" w:rsidR="00871CA7" w:rsidRPr="0099277C" w:rsidRDefault="00871CA7" w:rsidP="006E101C">
      <w:pPr>
        <w:spacing w:line="240" w:lineRule="auto"/>
        <w:ind w:left="426" w:hanging="426"/>
        <w:rPr>
          <w:sz w:val="22"/>
          <w:szCs w:val="18"/>
          <w:lang w:val="nl-BE"/>
        </w:rPr>
      </w:pPr>
    </w:p>
    <w:p w14:paraId="1DB97061" w14:textId="25197C38" w:rsidR="00871CA7" w:rsidRPr="0099277C" w:rsidRDefault="00871CA7" w:rsidP="006E101C">
      <w:pPr>
        <w:pStyle w:val="ListParagraph"/>
        <w:numPr>
          <w:ilvl w:val="0"/>
          <w:numId w:val="7"/>
        </w:numPr>
        <w:spacing w:line="240" w:lineRule="auto"/>
        <w:ind w:left="426" w:hanging="426"/>
        <w:rPr>
          <w:sz w:val="22"/>
          <w:szCs w:val="18"/>
          <w:lang w:val="nl-BE"/>
        </w:rPr>
      </w:pPr>
      <w:r w:rsidRPr="0099277C">
        <w:rPr>
          <w:b/>
          <w:bCs/>
          <w:sz w:val="22"/>
          <w:szCs w:val="18"/>
          <w:lang w:val="nl-BE"/>
        </w:rPr>
        <w:t xml:space="preserve">In Spanje </w:t>
      </w:r>
      <w:r w:rsidRPr="0099277C">
        <w:rPr>
          <w:sz w:val="22"/>
          <w:szCs w:val="18"/>
          <w:lang w:val="nl-BE"/>
        </w:rPr>
        <w:t xml:space="preserve">herstelde de markt zich in </w:t>
      </w:r>
      <w:r w:rsidR="006E101C">
        <w:rPr>
          <w:sz w:val="22"/>
          <w:szCs w:val="18"/>
          <w:lang w:val="nl-BE"/>
        </w:rPr>
        <w:t>Q2</w:t>
      </w:r>
      <w:r w:rsidRPr="0099277C">
        <w:rPr>
          <w:sz w:val="22"/>
          <w:szCs w:val="18"/>
          <w:lang w:val="nl-BE"/>
        </w:rPr>
        <w:t xml:space="preserve"> van 2024, na een moeilijk jaarbegin, en kon het een goed transactievolume behouden, vooral in Madrid en Valencia. De leegstand daalde tot net 5,4% in Barcelona en 8% in Madrid, terwijl het aanbod in Valencia krap bleef. De hoogste huurprijzen stabiliseerden in Barcelona en Valencia, maar stegen in Madrid in </w:t>
      </w:r>
      <w:r w:rsidR="006E101C">
        <w:rPr>
          <w:sz w:val="22"/>
          <w:szCs w:val="18"/>
          <w:lang w:val="nl-BE"/>
        </w:rPr>
        <w:t>Q2</w:t>
      </w:r>
      <w:r w:rsidRPr="0099277C">
        <w:rPr>
          <w:sz w:val="22"/>
          <w:szCs w:val="18"/>
          <w:lang w:val="nl-BE"/>
        </w:rPr>
        <w:t xml:space="preserve"> van 2024.</w:t>
      </w:r>
    </w:p>
    <w:p w14:paraId="6E1901C4" w14:textId="77777777" w:rsidR="00871CA7" w:rsidRPr="0099277C" w:rsidRDefault="00871CA7" w:rsidP="00871CA7">
      <w:pPr>
        <w:spacing w:line="240" w:lineRule="auto"/>
        <w:rPr>
          <w:sz w:val="22"/>
          <w:szCs w:val="18"/>
          <w:lang w:val="nl-BE"/>
        </w:rPr>
      </w:pPr>
    </w:p>
    <w:p w14:paraId="5065B5D0" w14:textId="1DBD4FA2" w:rsidR="00871CA7" w:rsidRDefault="00871CA7" w:rsidP="006E101C">
      <w:pPr>
        <w:pStyle w:val="ListParagraph"/>
        <w:numPr>
          <w:ilvl w:val="0"/>
          <w:numId w:val="7"/>
        </w:numPr>
        <w:spacing w:line="240" w:lineRule="auto"/>
        <w:ind w:left="426" w:hanging="426"/>
        <w:rPr>
          <w:sz w:val="22"/>
          <w:szCs w:val="18"/>
          <w:lang w:val="nl-BE"/>
        </w:rPr>
      </w:pPr>
      <w:r w:rsidRPr="0099277C">
        <w:rPr>
          <w:b/>
          <w:bCs/>
          <w:sz w:val="22"/>
          <w:szCs w:val="18"/>
          <w:lang w:val="nl-BE"/>
        </w:rPr>
        <w:t xml:space="preserve">In Polen </w:t>
      </w:r>
      <w:r w:rsidRPr="0099277C">
        <w:rPr>
          <w:sz w:val="22"/>
          <w:szCs w:val="18"/>
          <w:lang w:val="nl-BE"/>
        </w:rPr>
        <w:t xml:space="preserve">trok de huurdersmarkt aan in </w:t>
      </w:r>
      <w:r w:rsidR="006E101C">
        <w:rPr>
          <w:sz w:val="22"/>
          <w:szCs w:val="18"/>
          <w:lang w:val="nl-BE"/>
        </w:rPr>
        <w:t>Q2</w:t>
      </w:r>
      <w:r w:rsidRPr="0099277C">
        <w:rPr>
          <w:sz w:val="22"/>
          <w:szCs w:val="18"/>
          <w:lang w:val="nl-BE"/>
        </w:rPr>
        <w:t xml:space="preserve"> van 2024, na een trage start in Q1. De leegstand ligt nog steeds rond 8% en de hoogste huurprijzen stabiliseerden. Een opvallende trend is de forse daling van het aandeel nieuwbouwprojecten, gelanceerd op speculatieve basis. Het opnamevolume van 1,6 </w:t>
      </w:r>
      <w:r w:rsidRPr="0099277C">
        <w:rPr>
          <w:sz w:val="22"/>
          <w:szCs w:val="18"/>
          <w:lang w:val="nl-BE"/>
        </w:rPr>
        <w:lastRenderedPageBreak/>
        <w:t xml:space="preserve">miljoen m² kwam evenwel overeen met een stijging van 20% ten opzichte van </w:t>
      </w:r>
      <w:r w:rsidR="006E101C">
        <w:rPr>
          <w:sz w:val="22"/>
          <w:szCs w:val="18"/>
          <w:lang w:val="nl-BE"/>
        </w:rPr>
        <w:t>H1</w:t>
      </w:r>
      <w:r w:rsidRPr="0099277C">
        <w:rPr>
          <w:sz w:val="22"/>
          <w:szCs w:val="18"/>
          <w:lang w:val="nl-BE"/>
        </w:rPr>
        <w:t xml:space="preserve"> van 2023 en plaatst Polen op de 3e plaats in Europa.</w:t>
      </w:r>
    </w:p>
    <w:p w14:paraId="5B29B882" w14:textId="77777777" w:rsidR="006E101C" w:rsidRPr="006E101C" w:rsidRDefault="006E101C" w:rsidP="006E101C">
      <w:pPr>
        <w:pStyle w:val="ListParagraph"/>
        <w:rPr>
          <w:sz w:val="22"/>
          <w:szCs w:val="18"/>
          <w:lang w:val="nl-BE"/>
        </w:rPr>
      </w:pPr>
    </w:p>
    <w:p w14:paraId="6766169B" w14:textId="3684DD54" w:rsidR="00FC6033" w:rsidRPr="0099277C" w:rsidRDefault="00DF3FA5" w:rsidP="006E101C">
      <w:pPr>
        <w:spacing w:line="240" w:lineRule="auto"/>
        <w:jc w:val="center"/>
        <w:rPr>
          <w:sz w:val="22"/>
          <w:szCs w:val="18"/>
        </w:rPr>
      </w:pPr>
      <w:r w:rsidRPr="0099277C">
        <w:rPr>
          <w:noProof/>
          <w:sz w:val="22"/>
          <w:szCs w:val="18"/>
          <w:lang w:val="nl-BE"/>
        </w:rPr>
        <w:drawing>
          <wp:inline distT="0" distB="0" distL="0" distR="0" wp14:anchorId="6189CEFA" wp14:editId="2FB98404">
            <wp:extent cx="6001415" cy="172208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18501" cy="1726986"/>
                    </a:xfrm>
                    <a:prstGeom prst="rect">
                      <a:avLst/>
                    </a:prstGeom>
                  </pic:spPr>
                </pic:pic>
              </a:graphicData>
            </a:graphic>
          </wp:inline>
        </w:drawing>
      </w:r>
    </w:p>
    <w:p w14:paraId="0EB8B205" w14:textId="773BB6F8" w:rsidR="007750B8" w:rsidRPr="0099277C" w:rsidRDefault="007750B8" w:rsidP="007750B8">
      <w:pPr>
        <w:spacing w:line="240" w:lineRule="auto"/>
        <w:rPr>
          <w:sz w:val="22"/>
          <w:szCs w:val="18"/>
          <w:lang w:val="nl-BE"/>
        </w:rPr>
      </w:pPr>
      <w:r w:rsidRPr="0099277C">
        <w:rPr>
          <w:b/>
          <w:bCs/>
          <w:sz w:val="22"/>
          <w:szCs w:val="18"/>
          <w:lang w:val="nl-BE"/>
        </w:rPr>
        <w:t>De leegstand</w:t>
      </w:r>
      <w:r w:rsidRPr="0099277C">
        <w:rPr>
          <w:sz w:val="22"/>
          <w:szCs w:val="18"/>
          <w:lang w:val="nl-BE"/>
        </w:rPr>
        <w:t xml:space="preserve"> is de voorbije twaalf maanden gestegen tot een Europees gemiddelde van 5,9% als gevolg van een gematigde vraag. </w:t>
      </w:r>
      <w:r w:rsidRPr="0099277C">
        <w:rPr>
          <w:b/>
          <w:bCs/>
          <w:sz w:val="22"/>
          <w:szCs w:val="18"/>
          <w:lang w:val="nl-BE"/>
        </w:rPr>
        <w:t>Het gebrek aan nieuwe ontwikkelingen, aangezien grond in Europa steeds meer wordt gereguleerd, kan evenwel de huurgroei in de topsectoren blijven ondersteunen.</w:t>
      </w:r>
      <w:r w:rsidRPr="0099277C">
        <w:rPr>
          <w:sz w:val="22"/>
          <w:szCs w:val="18"/>
          <w:lang w:val="nl-BE"/>
        </w:rPr>
        <w:t xml:space="preserve"> </w:t>
      </w:r>
    </w:p>
    <w:p w14:paraId="5B5B38B4" w14:textId="308A3EAC" w:rsidR="00FC6033" w:rsidRPr="0099277C" w:rsidRDefault="006E101C" w:rsidP="00FC6033">
      <w:pPr>
        <w:spacing w:line="240" w:lineRule="auto"/>
        <w:rPr>
          <w:sz w:val="22"/>
          <w:szCs w:val="18"/>
          <w:lang w:val="nl-BE"/>
        </w:rPr>
      </w:pPr>
      <w:r w:rsidRPr="0099277C">
        <w:rPr>
          <w:noProof/>
          <w:sz w:val="22"/>
          <w:szCs w:val="18"/>
          <w:lang w:val="nl-BE"/>
        </w:rPr>
        <w:drawing>
          <wp:anchor distT="0" distB="0" distL="114300" distR="114300" simplePos="0" relativeHeight="251659776" behindDoc="1" locked="0" layoutInCell="1" allowOverlap="1" wp14:anchorId="5D8776B7" wp14:editId="7769D8A7">
            <wp:simplePos x="0" y="0"/>
            <wp:positionH relativeFrom="margin">
              <wp:posOffset>3810</wp:posOffset>
            </wp:positionH>
            <wp:positionV relativeFrom="margin">
              <wp:posOffset>2814955</wp:posOffset>
            </wp:positionV>
            <wp:extent cx="2503170" cy="2284095"/>
            <wp:effectExtent l="0" t="0" r="0" b="1905"/>
            <wp:wrapTight wrapText="bothSides">
              <wp:wrapPolygon edited="0">
                <wp:start x="0" y="0"/>
                <wp:lineTo x="0" y="21438"/>
                <wp:lineTo x="21370" y="21438"/>
                <wp:lineTo x="2137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03170" cy="2284095"/>
                    </a:xfrm>
                    <a:prstGeom prst="rect">
                      <a:avLst/>
                    </a:prstGeom>
                  </pic:spPr>
                </pic:pic>
              </a:graphicData>
            </a:graphic>
            <wp14:sizeRelH relativeFrom="margin">
              <wp14:pctWidth>0</wp14:pctWidth>
            </wp14:sizeRelH>
            <wp14:sizeRelV relativeFrom="margin">
              <wp14:pctHeight>0</wp14:pctHeight>
            </wp14:sizeRelV>
          </wp:anchor>
        </w:drawing>
      </w:r>
    </w:p>
    <w:p w14:paraId="3CCC8E76" w14:textId="37AADA6C" w:rsidR="00FC6033" w:rsidRPr="0099277C" w:rsidRDefault="00A95D53" w:rsidP="007750B8">
      <w:pPr>
        <w:spacing w:line="240" w:lineRule="auto"/>
        <w:rPr>
          <w:sz w:val="22"/>
          <w:szCs w:val="18"/>
          <w:lang w:val="nl-BE"/>
        </w:rPr>
      </w:pPr>
      <w:r w:rsidRPr="0099277C">
        <w:rPr>
          <w:b/>
          <w:bCs/>
          <w:sz w:val="22"/>
          <w:szCs w:val="18"/>
          <w:lang w:val="nl-BE"/>
        </w:rPr>
        <w:t>De hoogste huurprijzen stegen met 5,2% (j/j) in Q2 2024 voor een groep van 49 markten in 22 landen.</w:t>
      </w:r>
      <w:r w:rsidRPr="0099277C">
        <w:rPr>
          <w:sz w:val="22"/>
          <w:szCs w:val="18"/>
          <w:lang w:val="nl-BE"/>
        </w:rPr>
        <w:t xml:space="preserve"> In sommige steden stijgen de huurprijzen nog steeds, maar over het algemeen leidde de marktvertraging in Q2 van 2024 tot een beperkte huurgroei van slechts 0,9% voor het kwartaal. Logistieke gebruikers zijn nog altijd bereid om hogere huurprijzen voor bestaande gebouwen te aanvaarden om de overschakeling op groene energiebronnen te kunnen maken. In de toekomst zou dit niet alleen een verder potentieel voor huurstijgingen kunnen betekenen, maar kunnen ook de eigenaars van bestaande gebouwen hierdoor worden aangespoord om renovaties uit te voeren met het oog op een grotere energie-efficiëntie. </w:t>
      </w:r>
    </w:p>
    <w:p w14:paraId="0526676A" w14:textId="77777777" w:rsidR="006E101C" w:rsidRDefault="006E101C" w:rsidP="00A543A5">
      <w:pPr>
        <w:spacing w:line="240" w:lineRule="auto"/>
        <w:ind w:right="1984"/>
        <w:rPr>
          <w:i/>
          <w:iCs/>
          <w:sz w:val="22"/>
          <w:szCs w:val="18"/>
          <w:lang w:val="nl-BE"/>
        </w:rPr>
      </w:pPr>
    </w:p>
    <w:p w14:paraId="38DC0D56" w14:textId="77777777" w:rsidR="006E101C" w:rsidRDefault="006E101C" w:rsidP="00A543A5">
      <w:pPr>
        <w:spacing w:line="240" w:lineRule="auto"/>
        <w:ind w:right="1984"/>
        <w:rPr>
          <w:i/>
          <w:iCs/>
          <w:sz w:val="22"/>
          <w:szCs w:val="18"/>
          <w:lang w:val="nl-BE"/>
        </w:rPr>
      </w:pPr>
    </w:p>
    <w:p w14:paraId="7CD339A8" w14:textId="71F38FF4" w:rsidR="007750B8" w:rsidRPr="0099277C" w:rsidRDefault="00A95D53" w:rsidP="00A200AA">
      <w:pPr>
        <w:spacing w:line="240" w:lineRule="auto"/>
        <w:ind w:right="-2"/>
        <w:rPr>
          <w:b/>
          <w:bCs/>
          <w:sz w:val="22"/>
          <w:szCs w:val="18"/>
          <w:lang w:val="nl-BE"/>
        </w:rPr>
      </w:pPr>
      <w:r w:rsidRPr="0099277C">
        <w:rPr>
          <w:sz w:val="22"/>
          <w:szCs w:val="18"/>
          <w:lang w:val="nl-BE"/>
        </w:rPr>
        <w:t xml:space="preserve">"Ondanks de vertraging in de markt zien we nog steeds kernen van huurgroei en wereldwijd kapitaal met sterke interesse voor de Europese logistieke markten", aldus </w:t>
      </w:r>
      <w:r w:rsidRPr="0099277C">
        <w:rPr>
          <w:b/>
          <w:bCs/>
          <w:sz w:val="22"/>
          <w:szCs w:val="18"/>
          <w:lang w:val="nl-BE"/>
        </w:rPr>
        <w:t>Craig Maguire, Head of European Logistics bij BNP Paribas Real Estate.</w:t>
      </w:r>
    </w:p>
    <w:p w14:paraId="11BD21F9" w14:textId="77777777" w:rsidR="006053A1" w:rsidRPr="0099277C" w:rsidRDefault="006053A1" w:rsidP="007750B8">
      <w:pPr>
        <w:spacing w:line="240" w:lineRule="auto"/>
        <w:rPr>
          <w:b/>
          <w:bCs/>
          <w:color w:val="0070C0"/>
          <w:sz w:val="22"/>
          <w:szCs w:val="18"/>
          <w:lang w:val="nl-BE"/>
        </w:rPr>
      </w:pPr>
    </w:p>
    <w:p w14:paraId="1A137B2F" w14:textId="77777777" w:rsidR="006053A1" w:rsidRPr="0099277C" w:rsidRDefault="006053A1" w:rsidP="007750B8">
      <w:pPr>
        <w:spacing w:line="240" w:lineRule="auto"/>
        <w:rPr>
          <w:b/>
          <w:bCs/>
          <w:color w:val="0070C0"/>
          <w:sz w:val="22"/>
          <w:szCs w:val="18"/>
          <w:lang w:val="nl-BE"/>
        </w:rPr>
      </w:pPr>
    </w:p>
    <w:p w14:paraId="1DBF9BD6" w14:textId="00D94285" w:rsidR="007750B8" w:rsidRPr="0099277C" w:rsidRDefault="007750B8" w:rsidP="007750B8">
      <w:pPr>
        <w:spacing w:line="240" w:lineRule="auto"/>
        <w:rPr>
          <w:b/>
          <w:bCs/>
          <w:color w:val="0070C0"/>
          <w:sz w:val="22"/>
          <w:szCs w:val="18"/>
          <w:lang w:val="nl-BE"/>
        </w:rPr>
      </w:pPr>
      <w:r w:rsidRPr="0099277C">
        <w:rPr>
          <w:b/>
          <w:bCs/>
          <w:color w:val="0070C0"/>
          <w:sz w:val="22"/>
          <w:szCs w:val="18"/>
          <w:lang w:val="nl-BE"/>
        </w:rPr>
        <w:t>L</w:t>
      </w:r>
      <w:r w:rsidRPr="0099277C">
        <w:rPr>
          <w:b/>
          <w:bCs/>
          <w:caps/>
          <w:color w:val="0070C0"/>
          <w:sz w:val="22"/>
          <w:szCs w:val="18"/>
          <w:lang w:val="nl-BE"/>
        </w:rPr>
        <w:t>ogistieke kapitaalmarkten: enkele tekenen van verbetering</w:t>
      </w:r>
    </w:p>
    <w:p w14:paraId="5ACA3243" w14:textId="77777777" w:rsidR="007750B8" w:rsidRPr="0099277C" w:rsidRDefault="007750B8" w:rsidP="007750B8">
      <w:pPr>
        <w:spacing w:line="240" w:lineRule="auto"/>
        <w:rPr>
          <w:b/>
          <w:bCs/>
          <w:sz w:val="22"/>
          <w:szCs w:val="18"/>
          <w:lang w:val="nl-BE"/>
        </w:rPr>
      </w:pPr>
    </w:p>
    <w:p w14:paraId="79FB803D" w14:textId="40739CF2" w:rsidR="00DF3FA5" w:rsidRPr="0099277C" w:rsidRDefault="007750B8" w:rsidP="007750B8">
      <w:pPr>
        <w:spacing w:line="240" w:lineRule="auto"/>
        <w:rPr>
          <w:sz w:val="22"/>
          <w:szCs w:val="18"/>
          <w:lang w:val="nl-BE"/>
        </w:rPr>
      </w:pPr>
      <w:r w:rsidRPr="0099277C">
        <w:rPr>
          <w:b/>
          <w:bCs/>
          <w:sz w:val="22"/>
          <w:szCs w:val="18"/>
          <w:lang w:val="nl-BE"/>
        </w:rPr>
        <w:t>De investeringen in industrie en logistiek stegen met 6% in Europa tijdens het eerste halfjaar van 2024 en waren halverwege het jaar goed voor 16 miljard euro. Het dieptepunt is wellicht bereikt in 2023 en er wordt een geleidelijk herstel verwacht gedurende de rest van 2024</w:t>
      </w:r>
      <w:r w:rsidRPr="0099277C">
        <w:rPr>
          <w:sz w:val="22"/>
          <w:szCs w:val="18"/>
          <w:lang w:val="nl-BE"/>
        </w:rPr>
        <w:t>. Dit weerspiegelt een verbetering van de financiële omstandigheden. De verwachte daling van de belangrijkste rentetarieven van de centrale banken in het tweede halfjaar van 2024 moet jumbodeals stimuleren en de terugkeer van pan-Europese portefeuilles bevorderen. Het kan langer duren om deals te sluiten, maar de vraag begint nu toch aan te kloppen op de deur van sommige markten: Frankrijk, Zweden, Duitsland en Nederland. Deze trend zal zich naar verwachting in de loop van 2024 uitbreiden naar meer landen. Toch verwachten we dat de investeringen voor het volledige jaar 2024 aanzienlijk lager zullen liggen dan in de vorige jaren. Een materieel herstel van de investeringen wordt pas in 2025 verwacht.</w:t>
      </w:r>
    </w:p>
    <w:p w14:paraId="4F865D46" w14:textId="77777777" w:rsidR="00A200AA" w:rsidRPr="0099277C" w:rsidRDefault="00A200AA" w:rsidP="007750B8">
      <w:pPr>
        <w:spacing w:line="240" w:lineRule="auto"/>
        <w:rPr>
          <w:sz w:val="22"/>
          <w:szCs w:val="18"/>
          <w:lang w:val="nl-BE"/>
        </w:rPr>
      </w:pPr>
    </w:p>
    <w:p w14:paraId="7C720FE5" w14:textId="1C8DAC20" w:rsidR="00A543A5" w:rsidRPr="0099277C" w:rsidRDefault="00DF3FA5" w:rsidP="00A543A5">
      <w:pPr>
        <w:spacing w:line="240" w:lineRule="auto"/>
        <w:jc w:val="left"/>
        <w:rPr>
          <w:noProof/>
          <w:sz w:val="22"/>
          <w:szCs w:val="18"/>
        </w:rPr>
      </w:pPr>
      <w:r w:rsidRPr="0099277C">
        <w:rPr>
          <w:noProof/>
          <w:sz w:val="22"/>
          <w:szCs w:val="18"/>
          <w:lang w:val="nl-BE"/>
        </w:rPr>
        <w:drawing>
          <wp:inline distT="0" distB="0" distL="0" distR="0" wp14:anchorId="5419743D" wp14:editId="1FC2A8D5">
            <wp:extent cx="2971932" cy="10287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68831" cy="1062241"/>
                    </a:xfrm>
                    <a:prstGeom prst="rect">
                      <a:avLst/>
                    </a:prstGeom>
                  </pic:spPr>
                </pic:pic>
              </a:graphicData>
            </a:graphic>
          </wp:inline>
        </w:drawing>
      </w:r>
      <w:r w:rsidRPr="0099277C">
        <w:rPr>
          <w:noProof/>
          <w:sz w:val="22"/>
          <w:szCs w:val="18"/>
          <w:lang w:val="nl-BE"/>
        </w:rPr>
        <w:t xml:space="preserve">     </w:t>
      </w:r>
      <w:r w:rsidRPr="0099277C">
        <w:rPr>
          <w:noProof/>
          <w:sz w:val="22"/>
          <w:szCs w:val="18"/>
          <w:lang w:val="nl-BE"/>
        </w:rPr>
        <w:drawing>
          <wp:inline distT="0" distB="0" distL="0" distR="0" wp14:anchorId="47B23D7C" wp14:editId="06ED2ECC">
            <wp:extent cx="3251626" cy="869950"/>
            <wp:effectExtent l="0" t="0" r="635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90847" cy="880443"/>
                    </a:xfrm>
                    <a:prstGeom prst="rect">
                      <a:avLst/>
                    </a:prstGeom>
                  </pic:spPr>
                </pic:pic>
              </a:graphicData>
            </a:graphic>
          </wp:inline>
        </w:drawing>
      </w:r>
    </w:p>
    <w:p w14:paraId="6BFAA2E8" w14:textId="77777777" w:rsidR="006E4F60" w:rsidRPr="0099277C" w:rsidRDefault="006E4F60" w:rsidP="00A543A5">
      <w:pPr>
        <w:spacing w:line="240" w:lineRule="auto"/>
        <w:jc w:val="left"/>
        <w:rPr>
          <w:noProof/>
          <w:sz w:val="22"/>
          <w:szCs w:val="18"/>
        </w:rPr>
      </w:pPr>
    </w:p>
    <w:p w14:paraId="1D99FC6F" w14:textId="341E7E28" w:rsidR="006E4F60" w:rsidRPr="0099277C" w:rsidRDefault="006E4F60" w:rsidP="006E4F60">
      <w:pPr>
        <w:pStyle w:val="ListParagraph"/>
        <w:numPr>
          <w:ilvl w:val="0"/>
          <w:numId w:val="7"/>
        </w:numPr>
        <w:spacing w:line="240" w:lineRule="auto"/>
        <w:rPr>
          <w:sz w:val="22"/>
          <w:szCs w:val="18"/>
          <w:lang w:val="nl-BE"/>
        </w:rPr>
      </w:pPr>
      <w:r w:rsidRPr="0099277C">
        <w:rPr>
          <w:b/>
          <w:bCs/>
          <w:sz w:val="22"/>
          <w:szCs w:val="18"/>
          <w:lang w:val="nl-BE"/>
        </w:rPr>
        <w:t xml:space="preserve">In het Verenigd Koninkrijk </w:t>
      </w:r>
      <w:r w:rsidRPr="0099277C">
        <w:rPr>
          <w:sz w:val="22"/>
          <w:szCs w:val="18"/>
          <w:lang w:val="nl-BE"/>
        </w:rPr>
        <w:t xml:space="preserve">kwam de industriële en logistieke investeringsmarkt in 2024 traag op gang; ze werd onder druk gezet door een toegenomen schaarste van nieuwe best-in-class voorraden en economische onzekerheden. Het 'prime' nettorendement stabiliseerde op 4,5% en houdt nu stand, wat zou moeten helpen om de investeringsactiviteit te ontsluiten en het begin van een herstel in te luiden. </w:t>
      </w:r>
    </w:p>
    <w:p w14:paraId="3FB624AB" w14:textId="77777777" w:rsidR="006E4F60" w:rsidRPr="0099277C" w:rsidRDefault="006E4F60" w:rsidP="006E4F60">
      <w:pPr>
        <w:spacing w:line="240" w:lineRule="auto"/>
        <w:rPr>
          <w:sz w:val="22"/>
          <w:szCs w:val="18"/>
          <w:lang w:val="nl-BE"/>
        </w:rPr>
      </w:pPr>
    </w:p>
    <w:p w14:paraId="3775F92E" w14:textId="2CA57571" w:rsidR="006E4F60" w:rsidRPr="0099277C" w:rsidRDefault="006E4F60" w:rsidP="006E4F60">
      <w:pPr>
        <w:pStyle w:val="ListParagraph"/>
        <w:numPr>
          <w:ilvl w:val="0"/>
          <w:numId w:val="7"/>
        </w:numPr>
        <w:spacing w:line="240" w:lineRule="auto"/>
        <w:rPr>
          <w:sz w:val="22"/>
          <w:szCs w:val="18"/>
          <w:lang w:val="nl-BE"/>
        </w:rPr>
      </w:pPr>
      <w:r w:rsidRPr="0099277C">
        <w:rPr>
          <w:b/>
          <w:bCs/>
          <w:sz w:val="22"/>
          <w:szCs w:val="18"/>
          <w:lang w:val="nl-BE"/>
        </w:rPr>
        <w:t xml:space="preserve">In Duitsland </w:t>
      </w:r>
      <w:r w:rsidRPr="0099277C">
        <w:rPr>
          <w:sz w:val="22"/>
          <w:szCs w:val="18"/>
          <w:lang w:val="nl-BE"/>
        </w:rPr>
        <w:t>steeg de markt aanzienlijk in het eerste halfjaar van 2024. Het aanpassingsproces van de prijzen aan de gewijzigde renteomgeving is in Duitsland voltooid en de vraag neemt toe. Het prime-rendement bleef stabiel op 4,25% voor de belangrijkste logistieke locaties.</w:t>
      </w:r>
    </w:p>
    <w:p w14:paraId="088FA9DA" w14:textId="77777777" w:rsidR="006E4F60" w:rsidRPr="0099277C" w:rsidRDefault="006E4F60" w:rsidP="006E4F60">
      <w:pPr>
        <w:spacing w:line="240" w:lineRule="auto"/>
        <w:rPr>
          <w:sz w:val="22"/>
          <w:szCs w:val="18"/>
          <w:lang w:val="nl-BE"/>
        </w:rPr>
      </w:pPr>
    </w:p>
    <w:p w14:paraId="43E51ECB" w14:textId="116A7E1C" w:rsidR="006E4F60" w:rsidRPr="0099277C" w:rsidRDefault="006E4F60" w:rsidP="006E4F60">
      <w:pPr>
        <w:pStyle w:val="ListParagraph"/>
        <w:numPr>
          <w:ilvl w:val="0"/>
          <w:numId w:val="7"/>
        </w:numPr>
        <w:spacing w:line="240" w:lineRule="auto"/>
        <w:rPr>
          <w:sz w:val="22"/>
          <w:szCs w:val="18"/>
          <w:lang w:val="nl-BE"/>
        </w:rPr>
      </w:pPr>
      <w:r w:rsidRPr="0099277C">
        <w:rPr>
          <w:b/>
          <w:bCs/>
          <w:sz w:val="22"/>
          <w:szCs w:val="18"/>
          <w:lang w:val="nl-BE"/>
        </w:rPr>
        <w:t>In Frankrijk</w:t>
      </w:r>
      <w:r w:rsidRPr="0099277C">
        <w:rPr>
          <w:sz w:val="22"/>
          <w:szCs w:val="18"/>
          <w:lang w:val="nl-BE"/>
        </w:rPr>
        <w:t xml:space="preserve"> hebben de industriële en logistieke sectoren de marktdaling goed doorstaan, in vergelijking met retail en kantoren. Het investeringsvolume steeg aanzienlijk in het eerste halfjaar van 2024. Het rendement op logistieke toplocaties stabiliseerde op 4,75% in het tweede kwartaal van 2024. </w:t>
      </w:r>
    </w:p>
    <w:p w14:paraId="18FACE92" w14:textId="77777777" w:rsidR="006E4F60" w:rsidRPr="0099277C" w:rsidRDefault="006E4F60" w:rsidP="006E4F60">
      <w:pPr>
        <w:spacing w:line="240" w:lineRule="auto"/>
        <w:rPr>
          <w:sz w:val="22"/>
          <w:szCs w:val="18"/>
          <w:lang w:val="nl-BE"/>
        </w:rPr>
      </w:pPr>
    </w:p>
    <w:p w14:paraId="47DB3DB8" w14:textId="2E252576" w:rsidR="006E4F60" w:rsidRPr="0099277C" w:rsidRDefault="006E4F60" w:rsidP="006E4F60">
      <w:pPr>
        <w:pStyle w:val="ListParagraph"/>
        <w:numPr>
          <w:ilvl w:val="0"/>
          <w:numId w:val="7"/>
        </w:numPr>
        <w:spacing w:line="240" w:lineRule="auto"/>
        <w:rPr>
          <w:sz w:val="22"/>
          <w:szCs w:val="18"/>
          <w:lang w:val="nl-BE"/>
        </w:rPr>
      </w:pPr>
      <w:r w:rsidRPr="0099277C">
        <w:rPr>
          <w:b/>
          <w:bCs/>
          <w:sz w:val="22"/>
          <w:szCs w:val="18"/>
          <w:lang w:val="nl-BE"/>
        </w:rPr>
        <w:t xml:space="preserve">In Nederland </w:t>
      </w:r>
      <w:r w:rsidRPr="0099277C">
        <w:rPr>
          <w:sz w:val="22"/>
          <w:szCs w:val="18"/>
          <w:lang w:val="nl-BE"/>
        </w:rPr>
        <w:t>steeg de markt gestaag in het eerste halfjaar van 2024; de kapitaalmarkt leek te versoepelen met een grotere beschikbaarheid van kernproducten. Het rendement op logistieke toplocaties bleef stabiel op 4,9% in het tweede kwartaal van 2024.</w:t>
      </w:r>
    </w:p>
    <w:p w14:paraId="1131610F" w14:textId="1AF9DAB1" w:rsidR="006E4F60" w:rsidRPr="0099277C" w:rsidRDefault="006E4F60" w:rsidP="006E4F60">
      <w:pPr>
        <w:spacing w:line="240" w:lineRule="auto"/>
        <w:rPr>
          <w:sz w:val="22"/>
          <w:szCs w:val="18"/>
          <w:lang w:val="nl-BE"/>
        </w:rPr>
      </w:pPr>
    </w:p>
    <w:p w14:paraId="40DB8BDE" w14:textId="4170232A" w:rsidR="006E4F60" w:rsidRPr="0099277C" w:rsidRDefault="006E4F60" w:rsidP="006E4F60">
      <w:pPr>
        <w:pStyle w:val="ListParagraph"/>
        <w:numPr>
          <w:ilvl w:val="0"/>
          <w:numId w:val="7"/>
        </w:numPr>
        <w:spacing w:line="240" w:lineRule="auto"/>
        <w:rPr>
          <w:sz w:val="22"/>
          <w:szCs w:val="18"/>
          <w:lang w:val="nl-BE"/>
        </w:rPr>
      </w:pPr>
      <w:r w:rsidRPr="0099277C">
        <w:rPr>
          <w:b/>
          <w:bCs/>
          <w:sz w:val="22"/>
          <w:szCs w:val="18"/>
          <w:lang w:val="nl-BE"/>
        </w:rPr>
        <w:t xml:space="preserve">In Spanje </w:t>
      </w:r>
      <w:r w:rsidRPr="0099277C">
        <w:rPr>
          <w:sz w:val="22"/>
          <w:szCs w:val="18"/>
          <w:lang w:val="nl-BE"/>
        </w:rPr>
        <w:t xml:space="preserve">blijft het investeringsvolume voor industrie en logistiek op een sterk niveau, net onder het tienjarige gemiddelde. Net als de belangrijkste Europese markten stabiliseerde het hoogste rendement op 5,25% in het eerste halfjaar. </w:t>
      </w:r>
    </w:p>
    <w:p w14:paraId="5E6D7413" w14:textId="7CC56A7C" w:rsidR="006E4F60" w:rsidRPr="0099277C" w:rsidRDefault="006E4F60" w:rsidP="006E4F60">
      <w:pPr>
        <w:spacing w:line="240" w:lineRule="auto"/>
        <w:rPr>
          <w:sz w:val="22"/>
          <w:szCs w:val="18"/>
          <w:lang w:val="nl-BE"/>
        </w:rPr>
      </w:pPr>
    </w:p>
    <w:p w14:paraId="41919D30" w14:textId="247EE18B" w:rsidR="006E4F60" w:rsidRPr="0099277C" w:rsidRDefault="006E4F60" w:rsidP="006E4F60">
      <w:pPr>
        <w:pStyle w:val="ListParagraph"/>
        <w:numPr>
          <w:ilvl w:val="0"/>
          <w:numId w:val="7"/>
        </w:numPr>
        <w:spacing w:line="240" w:lineRule="auto"/>
        <w:rPr>
          <w:sz w:val="22"/>
          <w:szCs w:val="18"/>
        </w:rPr>
      </w:pPr>
      <w:r w:rsidRPr="0099277C">
        <w:rPr>
          <w:b/>
          <w:bCs/>
          <w:sz w:val="22"/>
          <w:szCs w:val="18"/>
          <w:lang w:val="nl-BE"/>
        </w:rPr>
        <w:t xml:space="preserve">In Polen </w:t>
      </w:r>
      <w:r w:rsidRPr="0099277C">
        <w:rPr>
          <w:sz w:val="22"/>
          <w:szCs w:val="18"/>
          <w:lang w:val="nl-BE"/>
        </w:rPr>
        <w:t xml:space="preserve">namen de investeringsvolumes toe in het tweede kwartaal als gevolg van een beter marktsentiment. Het tweede kwartaal zal eind 2024 waarschijnlijk als een keerpunt in de markt worden gezien. Het hoogste rendement stabiliseerde op 6% in Q1 2024. </w:t>
      </w:r>
    </w:p>
    <w:p w14:paraId="424DE8DC" w14:textId="61C51333" w:rsidR="006E4F60" w:rsidRPr="0099277C" w:rsidRDefault="006E4F60" w:rsidP="00A543A5">
      <w:pPr>
        <w:spacing w:line="240" w:lineRule="auto"/>
        <w:jc w:val="left"/>
        <w:rPr>
          <w:sz w:val="22"/>
          <w:szCs w:val="18"/>
        </w:rPr>
      </w:pPr>
    </w:p>
    <w:p w14:paraId="0116F277" w14:textId="335B5B11" w:rsidR="006053A1" w:rsidRPr="0099277C" w:rsidRDefault="006053A1" w:rsidP="00A543A5">
      <w:pPr>
        <w:spacing w:line="240" w:lineRule="auto"/>
        <w:rPr>
          <w:b/>
          <w:bCs/>
          <w:sz w:val="22"/>
          <w:szCs w:val="18"/>
        </w:rPr>
      </w:pPr>
    </w:p>
    <w:p w14:paraId="04DBA709" w14:textId="329F4DAA" w:rsidR="00C05981" w:rsidRPr="0099277C" w:rsidRDefault="006E101C" w:rsidP="00A543A5">
      <w:pPr>
        <w:spacing w:line="240" w:lineRule="auto"/>
        <w:rPr>
          <w:sz w:val="22"/>
          <w:szCs w:val="18"/>
          <w:lang w:val="nl-BE"/>
        </w:rPr>
      </w:pPr>
      <w:r w:rsidRPr="0099277C">
        <w:rPr>
          <w:noProof/>
          <w:sz w:val="22"/>
          <w:szCs w:val="18"/>
          <w:lang w:val="nl-BE"/>
        </w:rPr>
        <w:drawing>
          <wp:anchor distT="0" distB="0" distL="114300" distR="114300" simplePos="0" relativeHeight="251660800" behindDoc="0" locked="0" layoutInCell="1" allowOverlap="1" wp14:anchorId="6C993EC2" wp14:editId="0DB39D2F">
            <wp:simplePos x="0" y="0"/>
            <wp:positionH relativeFrom="margin">
              <wp:posOffset>195580</wp:posOffset>
            </wp:positionH>
            <wp:positionV relativeFrom="margin">
              <wp:posOffset>4690291</wp:posOffset>
            </wp:positionV>
            <wp:extent cx="3099435" cy="2803525"/>
            <wp:effectExtent l="0" t="0" r="5715"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99435" cy="2803525"/>
                    </a:xfrm>
                    <a:prstGeom prst="rect">
                      <a:avLst/>
                    </a:prstGeom>
                  </pic:spPr>
                </pic:pic>
              </a:graphicData>
            </a:graphic>
            <wp14:sizeRelH relativeFrom="margin">
              <wp14:pctWidth>0</wp14:pctWidth>
            </wp14:sizeRelH>
            <wp14:sizeRelV relativeFrom="margin">
              <wp14:pctHeight>0</wp14:pctHeight>
            </wp14:sizeRelV>
          </wp:anchor>
        </w:drawing>
      </w:r>
      <w:r w:rsidR="00A543A5" w:rsidRPr="0099277C">
        <w:rPr>
          <w:b/>
          <w:bCs/>
          <w:sz w:val="22"/>
          <w:szCs w:val="18"/>
          <w:lang w:val="nl-BE"/>
        </w:rPr>
        <w:t>Het rendement op logistieke toplocaties heeft zich gestabiliseerd in Europa.</w:t>
      </w:r>
      <w:r w:rsidR="00A543A5" w:rsidRPr="0099277C">
        <w:rPr>
          <w:sz w:val="22"/>
          <w:szCs w:val="18"/>
          <w:lang w:val="nl-BE"/>
        </w:rPr>
        <w:t xml:space="preserve"> De rentedruk en de daarmee gepaard gaande stijgende rendementen op langlopende staatsobligaties namen geleidelijk weer wat af. Er lijkt ook een einde te komen aan de daaruit voortvloeiende groei van de logistieke toprendementen van de afgelopen twee jaar. De hoogste rendementen zullen dus in heel Europa tot eind 2024 verder stabiliseren. </w:t>
      </w:r>
    </w:p>
    <w:p w14:paraId="5953A1F3" w14:textId="77777777" w:rsidR="006053A1" w:rsidRPr="0099277C" w:rsidRDefault="006053A1" w:rsidP="00A543A5">
      <w:pPr>
        <w:spacing w:line="240" w:lineRule="auto"/>
        <w:rPr>
          <w:sz w:val="22"/>
          <w:szCs w:val="18"/>
          <w:lang w:val="nl-BE"/>
        </w:rPr>
      </w:pPr>
    </w:p>
    <w:p w14:paraId="18AAFAF3" w14:textId="7D2A01F4" w:rsidR="00A543A5" w:rsidRPr="0099277C" w:rsidRDefault="00C05981" w:rsidP="00A543A5">
      <w:pPr>
        <w:spacing w:line="240" w:lineRule="auto"/>
        <w:rPr>
          <w:sz w:val="22"/>
          <w:szCs w:val="18"/>
          <w:lang w:val="nl-BE"/>
        </w:rPr>
      </w:pPr>
      <w:r w:rsidRPr="0099277C">
        <w:rPr>
          <w:sz w:val="22"/>
          <w:szCs w:val="18"/>
          <w:lang w:val="nl-BE"/>
        </w:rPr>
        <w:t xml:space="preserve">Hiervoor zou de belangrijkste rentevoet in het tweede halfjaar van 2024 stabiel moeten zijn of licht moeten dalen. De hoogste rendementen zouden vanaf 2025 opnieuw iets kunnen dalen. Voor de komende drie jaar verwachten we in Europa een gemiddelde compressie van ongeveer -10 bps. </w:t>
      </w:r>
    </w:p>
    <w:p w14:paraId="688F2936" w14:textId="1904DDDC" w:rsidR="00A543A5" w:rsidRPr="0099277C" w:rsidRDefault="00A543A5" w:rsidP="00A543A5">
      <w:pPr>
        <w:spacing w:line="240" w:lineRule="auto"/>
        <w:rPr>
          <w:sz w:val="22"/>
          <w:szCs w:val="18"/>
          <w:lang w:val="nl-BE"/>
        </w:rPr>
      </w:pPr>
    </w:p>
    <w:p w14:paraId="62D3967A" w14:textId="77777777" w:rsidR="001D09E4" w:rsidRPr="0099277C" w:rsidRDefault="001D09E4" w:rsidP="006E4F60">
      <w:pPr>
        <w:spacing w:line="240" w:lineRule="auto"/>
        <w:ind w:right="-2"/>
        <w:rPr>
          <w:sz w:val="22"/>
          <w:szCs w:val="18"/>
          <w:lang w:val="nl-BE"/>
        </w:rPr>
      </w:pPr>
    </w:p>
    <w:p w14:paraId="7886B274" w14:textId="79FF44B3" w:rsidR="006E101C" w:rsidRDefault="00A200AA" w:rsidP="006E4F60">
      <w:pPr>
        <w:spacing w:line="240" w:lineRule="auto"/>
        <w:ind w:right="-2"/>
        <w:rPr>
          <w:b/>
          <w:bCs/>
          <w:i/>
          <w:iCs/>
          <w:sz w:val="22"/>
          <w:szCs w:val="18"/>
          <w:lang w:val="nl-BE"/>
        </w:rPr>
      </w:pPr>
      <w:r w:rsidRPr="0099277C">
        <w:rPr>
          <w:sz w:val="22"/>
          <w:szCs w:val="18"/>
          <w:lang w:val="nl-BE"/>
        </w:rPr>
        <w:t>"Toch blijven de fundamenten voor de Europese logistieke markten relatief goed.  De vooruitzichten voor investeringen in logistiek zien er dus rooskleurig uit, in elk geval vanaf 2025, wanneer we een nieuwe cyclus ingaan",</w:t>
      </w:r>
      <w:r w:rsidRPr="0099277C">
        <w:rPr>
          <w:i/>
          <w:iCs/>
          <w:sz w:val="22"/>
          <w:szCs w:val="18"/>
          <w:lang w:val="nl-BE"/>
        </w:rPr>
        <w:t xml:space="preserve"> </w:t>
      </w:r>
      <w:r w:rsidRPr="0099277C">
        <w:rPr>
          <w:b/>
          <w:bCs/>
          <w:i/>
          <w:iCs/>
          <w:sz w:val="22"/>
          <w:szCs w:val="18"/>
          <w:lang w:val="nl-BE"/>
        </w:rPr>
        <w:t xml:space="preserve">besluit </w:t>
      </w:r>
      <w:proofErr w:type="spellStart"/>
      <w:r w:rsidRPr="0099277C">
        <w:rPr>
          <w:b/>
          <w:bCs/>
          <w:i/>
          <w:iCs/>
          <w:sz w:val="22"/>
          <w:szCs w:val="18"/>
          <w:lang w:val="nl-BE"/>
        </w:rPr>
        <w:t>Craig</w:t>
      </w:r>
      <w:proofErr w:type="spellEnd"/>
      <w:r w:rsidRPr="0099277C">
        <w:rPr>
          <w:b/>
          <w:bCs/>
          <w:i/>
          <w:iCs/>
          <w:sz w:val="22"/>
          <w:szCs w:val="18"/>
          <w:lang w:val="nl-BE"/>
        </w:rPr>
        <w:t xml:space="preserve"> </w:t>
      </w:r>
      <w:proofErr w:type="spellStart"/>
      <w:r w:rsidRPr="0099277C">
        <w:rPr>
          <w:b/>
          <w:bCs/>
          <w:i/>
          <w:iCs/>
          <w:sz w:val="22"/>
          <w:szCs w:val="18"/>
          <w:lang w:val="nl-BE"/>
        </w:rPr>
        <w:t>Maguire</w:t>
      </w:r>
      <w:proofErr w:type="spellEnd"/>
      <w:r w:rsidRPr="0099277C">
        <w:rPr>
          <w:b/>
          <w:bCs/>
          <w:i/>
          <w:iCs/>
          <w:sz w:val="22"/>
          <w:szCs w:val="18"/>
          <w:lang w:val="nl-BE"/>
        </w:rPr>
        <w:t>.</w:t>
      </w:r>
    </w:p>
    <w:p w14:paraId="50FB8FEC" w14:textId="77777777" w:rsidR="006E101C" w:rsidRDefault="006E101C">
      <w:pPr>
        <w:spacing w:line="240" w:lineRule="auto"/>
        <w:jc w:val="left"/>
        <w:rPr>
          <w:b/>
          <w:bCs/>
          <w:i/>
          <w:iCs/>
          <w:sz w:val="22"/>
          <w:szCs w:val="18"/>
          <w:lang w:val="nl-BE"/>
        </w:rPr>
      </w:pPr>
      <w:r>
        <w:rPr>
          <w:b/>
          <w:bCs/>
          <w:i/>
          <w:iCs/>
          <w:sz w:val="22"/>
          <w:szCs w:val="18"/>
          <w:lang w:val="nl-BE"/>
        </w:rPr>
        <w:br w:type="page"/>
      </w:r>
    </w:p>
    <w:p w14:paraId="62791316" w14:textId="156EEEB3" w:rsidR="00782E41" w:rsidRPr="0099277C" w:rsidRDefault="006E4F60" w:rsidP="004C5425">
      <w:pPr>
        <w:spacing w:line="360" w:lineRule="auto"/>
        <w:rPr>
          <w:rFonts w:cstheme="minorHAnsi"/>
          <w:lang w:val="nl-BE"/>
        </w:rPr>
      </w:pPr>
      <w:r w:rsidRPr="0099277C">
        <w:rPr>
          <w:noProof/>
          <w:lang w:val="nl-BE"/>
        </w:rPr>
        <w:lastRenderedPageBreak/>
        <mc:AlternateContent>
          <mc:Choice Requires="wps">
            <w:drawing>
              <wp:anchor distT="0" distB="0" distL="114300" distR="114300" simplePos="0" relativeHeight="251662848" behindDoc="0" locked="0" layoutInCell="1" allowOverlap="1" wp14:anchorId="6AAAA015" wp14:editId="4A4F4651">
                <wp:simplePos x="0" y="0"/>
                <wp:positionH relativeFrom="margin">
                  <wp:align>right</wp:align>
                </wp:positionH>
                <wp:positionV relativeFrom="paragraph">
                  <wp:posOffset>135262</wp:posOffset>
                </wp:positionV>
                <wp:extent cx="6478270" cy="1994598"/>
                <wp:effectExtent l="0" t="0" r="17780" b="24765"/>
                <wp:wrapNone/>
                <wp:docPr id="18" name="Rectangle 18"/>
                <wp:cNvGraphicFramePr/>
                <a:graphic xmlns:a="http://schemas.openxmlformats.org/drawingml/2006/main">
                  <a:graphicData uri="http://schemas.microsoft.com/office/word/2010/wordprocessingShape">
                    <wps:wsp>
                      <wps:cNvSpPr/>
                      <wps:spPr>
                        <a:xfrm>
                          <a:off x="0" y="0"/>
                          <a:ext cx="6478270" cy="1994598"/>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39ACDB" w14:textId="77777777" w:rsidR="006E4F60" w:rsidRPr="0099277C" w:rsidRDefault="006E4F60" w:rsidP="006E4F60">
                            <w:pPr>
                              <w:shd w:val="clear" w:color="auto" w:fill="FFFFFF"/>
                              <w:spacing w:line="240" w:lineRule="auto"/>
                              <w:rPr>
                                <w:rFonts w:ascii="Arial" w:eastAsia="Times New Roman" w:hAnsi="Arial" w:cs="Arial"/>
                                <w:b/>
                                <w:bCs/>
                                <w:color w:val="004231"/>
                                <w:sz w:val="16"/>
                                <w:szCs w:val="16"/>
                                <w:lang w:val="en-GB"/>
                              </w:rPr>
                            </w:pPr>
                            <w:r w:rsidRPr="0099277C">
                              <w:rPr>
                                <w:rFonts w:ascii="Arial" w:eastAsia="Times New Roman" w:hAnsi="Arial" w:cs="Arial"/>
                                <w:b/>
                                <w:bCs/>
                                <w:color w:val="004231"/>
                                <w:sz w:val="16"/>
                                <w:szCs w:val="16"/>
                                <w:lang w:val="en-GB"/>
                              </w:rPr>
                              <w:t>About BNP Paribas Real Estate</w:t>
                            </w:r>
                          </w:p>
                          <w:p w14:paraId="60A912B7" w14:textId="77777777" w:rsidR="006E4F60" w:rsidRPr="0099277C" w:rsidRDefault="006E4F60" w:rsidP="006E4F60">
                            <w:pPr>
                              <w:rPr>
                                <w:rFonts w:cstheme="minorHAnsi"/>
                                <w:color w:val="808080" w:themeColor="background1" w:themeShade="80"/>
                                <w:sz w:val="14"/>
                                <w:szCs w:val="21"/>
                                <w:lang w:val="en-GB"/>
                              </w:rPr>
                            </w:pPr>
                            <w:r w:rsidRPr="0099277C">
                              <w:rPr>
                                <w:rFonts w:cstheme="minorHAnsi"/>
                                <w:color w:val="808080" w:themeColor="background1" w:themeShade="80"/>
                                <w:sz w:val="14"/>
                                <w:szCs w:val="21"/>
                                <w:lang w:val="en-GB"/>
                              </w:rPr>
                              <w:t xml:space="preserve">BNP Paribas Real Estate, one of the leading international real estate providers, offers its clients a comprehensive range of services that span the entire real estate lifecycle: Property Development, Transaction, Consulting, Valuation, Property Management and Investment Management. With 5,000 employees, BNP Paribas Real Estate as a one stop shop company, supports owners, leaseholders, investors and communities thanks to its local expertise across 24 countries (through its facilities and its Alliance network) in Europe, the </w:t>
                            </w:r>
                            <w:proofErr w:type="gramStart"/>
                            <w:r w:rsidRPr="0099277C">
                              <w:rPr>
                                <w:rFonts w:cstheme="minorHAnsi"/>
                                <w:color w:val="808080" w:themeColor="background1" w:themeShade="80"/>
                                <w:sz w:val="14"/>
                                <w:szCs w:val="21"/>
                                <w:lang w:val="en-GB"/>
                              </w:rPr>
                              <w:t>Middle-East</w:t>
                            </w:r>
                            <w:proofErr w:type="gramEnd"/>
                            <w:r w:rsidRPr="0099277C">
                              <w:rPr>
                                <w:rFonts w:cstheme="minorHAnsi"/>
                                <w:color w:val="808080" w:themeColor="background1" w:themeShade="80"/>
                                <w:sz w:val="14"/>
                                <w:szCs w:val="21"/>
                                <w:lang w:val="en-GB"/>
                              </w:rPr>
                              <w:t xml:space="preserve"> and Asia. BNP Paribas Real Estate is a part of the BNP Paribas Group,</w:t>
                            </w:r>
                            <w:r w:rsidRPr="0099277C">
                              <w:rPr>
                                <w:rFonts w:cstheme="minorHAnsi"/>
                                <w:color w:val="808080" w:themeColor="background1" w:themeShade="80"/>
                                <w:sz w:val="12"/>
                                <w:shd w:val="clear" w:color="auto" w:fill="FFFFFF"/>
                                <w:lang w:val="en-GB"/>
                              </w:rPr>
                              <w:t xml:space="preserve"> </w:t>
                            </w:r>
                            <w:r w:rsidRPr="0099277C">
                              <w:rPr>
                                <w:rFonts w:cstheme="minorHAnsi"/>
                                <w:color w:val="808080" w:themeColor="background1" w:themeShade="80"/>
                                <w:sz w:val="14"/>
                                <w:szCs w:val="21"/>
                                <w:lang w:val="en-GB"/>
                              </w:rPr>
                              <w:t xml:space="preserve">a global leader in financial services. </w:t>
                            </w:r>
                          </w:p>
                          <w:p w14:paraId="513FE96B" w14:textId="77777777" w:rsidR="006E4F60" w:rsidRPr="0099277C" w:rsidRDefault="006E4F60" w:rsidP="006E4F60">
                            <w:pPr>
                              <w:rPr>
                                <w:rFonts w:cstheme="minorHAnsi"/>
                                <w:color w:val="808080" w:themeColor="background1" w:themeShade="80"/>
                                <w:sz w:val="14"/>
                                <w:szCs w:val="21"/>
                                <w:lang w:val="en-GB"/>
                              </w:rPr>
                            </w:pPr>
                            <w:r w:rsidRPr="0099277C">
                              <w:rPr>
                                <w:rFonts w:cstheme="minorHAnsi"/>
                                <w:color w:val="808080" w:themeColor="background1" w:themeShade="80"/>
                                <w:sz w:val="14"/>
                                <w:szCs w:val="21"/>
                                <w:lang w:val="en-GB"/>
                              </w:rPr>
                              <w:t>As a committed stakeholder in sustainable cities, BNP Paribas Real Estate intends to spearhead the transition to more sustainable real estate: low-carbon, resilient, inclusive and conducive to wellbeing. To achieve this, the company has developed a CSR policy with four objectives: to ethically and responsibly enhance the economic performance and use of buildings; to integrate a low-carbon transition and reduce its environmental footprint; to ensure the development, commitment and well-being of its employees; to be a proactive stakeholder in the real estate sector and to build local initiatives and partnerships.</w:t>
                            </w:r>
                          </w:p>
                          <w:p w14:paraId="1BEAA024" w14:textId="77777777" w:rsidR="006E4F60" w:rsidRPr="0099277C" w:rsidRDefault="006E4F60" w:rsidP="006E4F60">
                            <w:pPr>
                              <w:autoSpaceDE w:val="0"/>
                              <w:autoSpaceDN w:val="0"/>
                              <w:adjustRightInd w:val="0"/>
                              <w:rPr>
                                <w:rFonts w:ascii="Arial" w:hAnsi="Arial" w:cs="Arial"/>
                                <w:color w:val="808080"/>
                                <w:sz w:val="16"/>
                                <w:szCs w:val="16"/>
                                <w:lang w:val="en-GB"/>
                              </w:rPr>
                            </w:pPr>
                          </w:p>
                          <w:p w14:paraId="130E38A2" w14:textId="146127EB" w:rsidR="006E4F60" w:rsidRPr="0099277C" w:rsidRDefault="006E4F60" w:rsidP="006E4F60">
                            <w:pPr>
                              <w:autoSpaceDE w:val="0"/>
                              <w:autoSpaceDN w:val="0"/>
                              <w:adjustRightInd w:val="0"/>
                              <w:rPr>
                                <w:rFonts w:ascii="Arial" w:hAnsi="Arial" w:cs="Arial"/>
                                <w:color w:val="808080"/>
                                <w:sz w:val="16"/>
                                <w:szCs w:val="16"/>
                              </w:rPr>
                            </w:pPr>
                            <w:r w:rsidRPr="0099277C">
                              <w:rPr>
                                <w:rFonts w:ascii="Arial" w:hAnsi="Arial"/>
                                <w:b/>
                                <w:bCs/>
                                <w:color w:val="808080"/>
                                <w:sz w:val="18"/>
                                <w:szCs w:val="16"/>
                              </w:rPr>
                              <w:t xml:space="preserve">Follow us on </w:t>
                            </w:r>
                            <w:r w:rsidRPr="0099277C">
                              <w:rPr>
                                <w:rFonts w:ascii="Tms Rmn" w:hAnsi="Tms Rmn"/>
                                <w:noProof/>
                                <w:sz w:val="26"/>
                              </w:rPr>
                              <w:t xml:space="preserve">   </w:t>
                            </w:r>
                            <w:r w:rsidRPr="0099277C">
                              <w:rPr>
                                <w:noProof/>
                              </w:rPr>
                              <w:drawing>
                                <wp:inline distT="0" distB="0" distL="0" distR="0" wp14:anchorId="19F99694" wp14:editId="4C81A9D0">
                                  <wp:extent cx="285750" cy="285750"/>
                                  <wp:effectExtent l="0" t="0" r="0" b="0"/>
                                  <wp:docPr id="5" name="Imag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99277C">
                              <w:rPr>
                                <w:rFonts w:ascii="Arial" w:hAnsi="Arial"/>
                                <w:color w:val="000000"/>
                                <w:sz w:val="16"/>
                                <w:szCs w:val="16"/>
                              </w:rPr>
                              <w:t xml:space="preserve">  </w:t>
                            </w:r>
                            <w:r w:rsidRPr="0099277C">
                              <w:rPr>
                                <w:noProof/>
                              </w:rPr>
                              <w:drawing>
                                <wp:inline distT="0" distB="0" distL="0" distR="0" wp14:anchorId="39F8DB5F" wp14:editId="21B8E04D">
                                  <wp:extent cx="284400" cy="284400"/>
                                  <wp:effectExtent l="0" t="0" r="1905" b="1905"/>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Logo Twitter2.png"/>
                                          <pic:cNvPicPr/>
                                        </pic:nvPicPr>
                                        <pic:blipFill rotWithShape="1">
                                          <a:blip r:embed="rId16">
                                            <a:extLst>
                                              <a:ext uri="{28A0092B-C50C-407E-A947-70E740481C1C}">
                                                <a14:useLocalDpi xmlns:a14="http://schemas.microsoft.com/office/drawing/2010/main" val="0"/>
                                              </a:ext>
                                            </a:extLst>
                                          </a:blip>
                                          <a:srcRect l="15672" r="16670" b="701"/>
                                          <a:stretch/>
                                        </pic:blipFill>
                                        <pic:spPr bwMode="auto">
                                          <a:xfrm>
                                            <a:off x="0" y="0"/>
                                            <a:ext cx="284400" cy="284400"/>
                                          </a:xfrm>
                                          <a:prstGeom prst="rect">
                                            <a:avLst/>
                                          </a:prstGeom>
                                          <a:ln>
                                            <a:noFill/>
                                          </a:ln>
                                          <a:extLst>
                                            <a:ext uri="{53640926-AAD7-44D8-BBD7-CCE9431645EC}">
                                              <a14:shadowObscured xmlns:a14="http://schemas.microsoft.com/office/drawing/2010/main"/>
                                            </a:ext>
                                          </a:extLst>
                                        </pic:spPr>
                                      </pic:pic>
                                    </a:graphicData>
                                  </a:graphic>
                                </wp:inline>
                              </w:drawing>
                            </w:r>
                            <w:r w:rsidRPr="0099277C">
                              <w:rPr>
                                <w:rFonts w:ascii="Arial" w:hAnsi="Arial"/>
                                <w:color w:val="000000"/>
                                <w:sz w:val="16"/>
                                <w:szCs w:val="16"/>
                              </w:rPr>
                              <w:t xml:space="preserve">  </w:t>
                            </w:r>
                            <w:r w:rsidRPr="0099277C">
                              <w:rPr>
                                <w:noProof/>
                                <w:color w:val="000000"/>
                                <w:sz w:val="16"/>
                                <w:szCs w:val="16"/>
                              </w:rPr>
                              <w:drawing>
                                <wp:inline distT="0" distB="0" distL="0" distR="0" wp14:anchorId="1D9E4FFB" wp14:editId="453BD1D7">
                                  <wp:extent cx="281781" cy="285750"/>
                                  <wp:effectExtent l="0" t="0" r="4445" b="0"/>
                                  <wp:docPr id="8" name="Imag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81781" cy="285750"/>
                                          </a:xfrm>
                                          <a:prstGeom prst="rect">
                                            <a:avLst/>
                                          </a:prstGeom>
                                          <a:noFill/>
                                          <a:ln>
                                            <a:noFill/>
                                          </a:ln>
                                        </pic:spPr>
                                      </pic:pic>
                                    </a:graphicData>
                                  </a:graphic>
                                </wp:inline>
                              </w:drawing>
                            </w:r>
                            <w:r w:rsidRPr="0099277C">
                              <w:rPr>
                                <w:noProof/>
                                <w:color w:val="000000"/>
                                <w:sz w:val="16"/>
                                <w:szCs w:val="16"/>
                              </w:rPr>
                              <w:drawing>
                                <wp:inline distT="0" distB="0" distL="0" distR="0" wp14:anchorId="27306027" wp14:editId="407CF21D">
                                  <wp:extent cx="3773170" cy="41211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3170" cy="412115"/>
                                          </a:xfrm>
                                          <a:prstGeom prst="rect">
                                            <a:avLst/>
                                          </a:prstGeom>
                                          <a:noFill/>
                                          <a:ln>
                                            <a:noFill/>
                                          </a:ln>
                                        </pic:spPr>
                                      </pic:pic>
                                    </a:graphicData>
                                  </a:graphic>
                                </wp:inline>
                              </w:drawing>
                            </w:r>
                          </w:p>
                          <w:p w14:paraId="31F83442" w14:textId="5C04594C" w:rsidR="006E4F60" w:rsidRPr="0099277C" w:rsidRDefault="006E4F60" w:rsidP="006E4F60">
                            <w:pPr>
                              <w:keepNext/>
                              <w:autoSpaceDE w:val="0"/>
                              <w:autoSpaceDN w:val="0"/>
                              <w:adjustRightInd w:val="0"/>
                              <w:ind w:left="1276"/>
                              <w:jc w:val="left"/>
                              <w:rPr>
                                <w:rFonts w:ascii="Arial" w:hAnsi="Arial" w:cs="Arial"/>
                                <w:color w:val="0000FF"/>
                                <w:sz w:val="16"/>
                                <w:szCs w:val="16"/>
                              </w:rPr>
                            </w:pPr>
                            <w:r w:rsidRPr="0099277C">
                              <w:rPr>
                                <w:rFonts w:ascii="Arial" w:hAnsi="Arial" w:cs="Arial"/>
                                <w:color w:val="0000FF"/>
                                <w:sz w:val="16"/>
                                <w:szCs w:val="16"/>
                              </w:rPr>
                              <w:t>#BEYONDBUILDINGS</w:t>
                            </w: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AA015" id="Rectangle 18" o:spid="_x0000_s1027" style="position:absolute;left:0;text-align:left;margin-left:458.9pt;margin-top:10.65pt;width:510.1pt;height:157.05pt;z-index:2516628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" filled="f" strokecolor="black [3213]">
                <v:stroke dashstyle="3 1"/>
                <v:textbox inset=",2.5mm,,2.5mm">
                  <w:txbxContent>
                    <w:p w14:paraId="1539ACDB" w14:textId="77777777" w:rsidR="006E4F60" w:rsidRPr="0099277C" w:rsidRDefault="006E4F60" w:rsidP="006E4F60">
                      <w:pPr>
                        <w:shd w:val="clear" w:color="auto" w:fill="FFFFFF"/>
                        <w:spacing w:line="240" w:lineRule="auto"/>
                        <w:rPr>
                          <w:rFonts w:ascii="Arial" w:eastAsia="Times New Roman" w:hAnsi="Arial" w:cs="Arial"/>
                          <w:b/>
                          <w:bCs/>
                          <w:color w:val="004231"/>
                          <w:sz w:val="16"/>
                          <w:szCs w:val="16"/>
                          <w:lang w:val="en-GB"/>
                        </w:rPr>
                      </w:pPr>
                      <w:r w:rsidRPr="0099277C">
                        <w:rPr>
                          <w:rFonts w:ascii="Arial" w:eastAsia="Times New Roman" w:hAnsi="Arial" w:cs="Arial"/>
                          <w:b/>
                          <w:bCs/>
                          <w:color w:val="004231"/>
                          <w:sz w:val="16"/>
                          <w:szCs w:val="16"/>
                          <w:lang w:val="en-GB"/>
                        </w:rPr>
                        <w:t>About BNP Paribas Real Estate</w:t>
                      </w:r>
                    </w:p>
                    <w:p w14:paraId="60A912B7" w14:textId="77777777" w:rsidR="006E4F60" w:rsidRPr="0099277C" w:rsidRDefault="006E4F60" w:rsidP="006E4F60">
                      <w:pPr>
                        <w:rPr>
                          <w:rFonts w:cstheme="minorHAnsi"/>
                          <w:color w:val="808080" w:themeColor="background1" w:themeShade="80"/>
                          <w:sz w:val="14"/>
                          <w:szCs w:val="21"/>
                          <w:lang w:val="en-GB"/>
                        </w:rPr>
                      </w:pPr>
                      <w:r w:rsidRPr="0099277C">
                        <w:rPr>
                          <w:rFonts w:cstheme="minorHAnsi"/>
                          <w:color w:val="808080" w:themeColor="background1" w:themeShade="80"/>
                          <w:sz w:val="14"/>
                          <w:szCs w:val="21"/>
                          <w:lang w:val="en-GB"/>
                        </w:rPr>
                        <w:t xml:space="preserve">BNP Paribas Real Estate, one of the leading international real estate providers, offers its clients a comprehensive range of services that span the entire real estate lifecycle: Property Development, Transaction, Consulting, Valuation, Property Management and Investment Management. With 5,000 employees, BNP Paribas Real Estate as a one stop shop company, supports owners, leaseholders, investors and communities thanks to its local expertise across 24 countries (through its facilities and its Alliance network) in Europe, the </w:t>
                      </w:r>
                      <w:proofErr w:type="gramStart"/>
                      <w:r w:rsidRPr="0099277C">
                        <w:rPr>
                          <w:rFonts w:cstheme="minorHAnsi"/>
                          <w:color w:val="808080" w:themeColor="background1" w:themeShade="80"/>
                          <w:sz w:val="14"/>
                          <w:szCs w:val="21"/>
                          <w:lang w:val="en-GB"/>
                        </w:rPr>
                        <w:t>Middle-East</w:t>
                      </w:r>
                      <w:proofErr w:type="gramEnd"/>
                      <w:r w:rsidRPr="0099277C">
                        <w:rPr>
                          <w:rFonts w:cstheme="minorHAnsi"/>
                          <w:color w:val="808080" w:themeColor="background1" w:themeShade="80"/>
                          <w:sz w:val="14"/>
                          <w:szCs w:val="21"/>
                          <w:lang w:val="en-GB"/>
                        </w:rPr>
                        <w:t xml:space="preserve"> and Asia. BNP Paribas Real Estate is a part of the BNP Paribas Group,</w:t>
                      </w:r>
                      <w:r w:rsidRPr="0099277C">
                        <w:rPr>
                          <w:rFonts w:cstheme="minorHAnsi"/>
                          <w:color w:val="808080" w:themeColor="background1" w:themeShade="80"/>
                          <w:sz w:val="12"/>
                          <w:shd w:val="clear" w:color="auto" w:fill="FFFFFF"/>
                          <w:lang w:val="en-GB"/>
                        </w:rPr>
                        <w:t xml:space="preserve"> </w:t>
                      </w:r>
                      <w:r w:rsidRPr="0099277C">
                        <w:rPr>
                          <w:rFonts w:cstheme="minorHAnsi"/>
                          <w:color w:val="808080" w:themeColor="background1" w:themeShade="80"/>
                          <w:sz w:val="14"/>
                          <w:szCs w:val="21"/>
                          <w:lang w:val="en-GB"/>
                        </w:rPr>
                        <w:t xml:space="preserve">a global leader in financial services. </w:t>
                      </w:r>
                    </w:p>
                    <w:p w14:paraId="513FE96B" w14:textId="77777777" w:rsidR="006E4F60" w:rsidRPr="0099277C" w:rsidRDefault="006E4F60" w:rsidP="006E4F60">
                      <w:pPr>
                        <w:rPr>
                          <w:rFonts w:cstheme="minorHAnsi"/>
                          <w:color w:val="808080" w:themeColor="background1" w:themeShade="80"/>
                          <w:sz w:val="14"/>
                          <w:szCs w:val="21"/>
                          <w:lang w:val="en-GB"/>
                        </w:rPr>
                      </w:pPr>
                      <w:r w:rsidRPr="0099277C">
                        <w:rPr>
                          <w:rFonts w:cstheme="minorHAnsi"/>
                          <w:color w:val="808080" w:themeColor="background1" w:themeShade="80"/>
                          <w:sz w:val="14"/>
                          <w:szCs w:val="21"/>
                          <w:lang w:val="en-GB"/>
                        </w:rPr>
                        <w:t>As a committed stakeholder in sustainable cities, BNP Paribas Real Estate intends to spearhead the transition to more sustainable real estate: low-carbon, resilient, inclusive and conducive to wellbeing. To achieve this, the company has developed a CSR policy with four objectives: to ethically and responsibly enhance the economic performance and use of buildings; to integrate a low-carbon transition and reduce its environmental footprint; to ensure the development, commitment and well-being of its employees; to be a proactive stakeholder in the real estate sector and to build local initiatives and partnerships.</w:t>
                      </w:r>
                    </w:p>
                    <w:p w14:paraId="1BEAA024" w14:textId="77777777" w:rsidR="006E4F60" w:rsidRPr="0099277C" w:rsidRDefault="006E4F60" w:rsidP="006E4F60">
                      <w:pPr>
                        <w:autoSpaceDE w:val="0"/>
                        <w:autoSpaceDN w:val="0"/>
                        <w:adjustRightInd w:val="0"/>
                        <w:rPr>
                          <w:rFonts w:ascii="Arial" w:hAnsi="Arial" w:cs="Arial"/>
                          <w:color w:val="808080"/>
                          <w:sz w:val="16"/>
                          <w:szCs w:val="16"/>
                          <w:lang w:val="en-GB"/>
                        </w:rPr>
                      </w:pPr>
                    </w:p>
                    <w:p w14:paraId="130E38A2" w14:textId="146127EB" w:rsidR="006E4F60" w:rsidRPr="0099277C" w:rsidRDefault="006E4F60" w:rsidP="006E4F60">
                      <w:pPr>
                        <w:autoSpaceDE w:val="0"/>
                        <w:autoSpaceDN w:val="0"/>
                        <w:adjustRightInd w:val="0"/>
                        <w:rPr>
                          <w:rFonts w:ascii="Arial" w:hAnsi="Arial" w:cs="Arial"/>
                          <w:color w:val="808080"/>
                          <w:sz w:val="16"/>
                          <w:szCs w:val="16"/>
                        </w:rPr>
                      </w:pPr>
                      <w:r w:rsidRPr="0099277C">
                        <w:rPr>
                          <w:rFonts w:ascii="Arial" w:hAnsi="Arial"/>
                          <w:b/>
                          <w:bCs/>
                          <w:color w:val="808080"/>
                          <w:sz w:val="18"/>
                          <w:szCs w:val="16"/>
                        </w:rPr>
                        <w:t xml:space="preserve">Follow us on </w:t>
                      </w:r>
                      <w:r w:rsidRPr="0099277C">
                        <w:rPr>
                          <w:rFonts w:ascii="Tms Rmn" w:hAnsi="Tms Rmn"/>
                          <w:noProof/>
                          <w:sz w:val="26"/>
                        </w:rPr>
                        <w:t xml:space="preserve">   </w:t>
                      </w:r>
                      <w:r w:rsidRPr="0099277C">
                        <w:rPr>
                          <w:noProof/>
                        </w:rPr>
                        <w:drawing>
                          <wp:inline distT="0" distB="0" distL="0" distR="0" wp14:anchorId="19F99694" wp14:editId="4C81A9D0">
                            <wp:extent cx="285750" cy="285750"/>
                            <wp:effectExtent l="0" t="0" r="0" b="0"/>
                            <wp:docPr id="5" name="Imag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99277C">
                        <w:rPr>
                          <w:rFonts w:ascii="Arial" w:hAnsi="Arial"/>
                          <w:color w:val="000000"/>
                          <w:sz w:val="16"/>
                          <w:szCs w:val="16"/>
                        </w:rPr>
                        <w:t xml:space="preserve">  </w:t>
                      </w:r>
                      <w:r w:rsidRPr="0099277C">
                        <w:rPr>
                          <w:noProof/>
                        </w:rPr>
                        <w:drawing>
                          <wp:inline distT="0" distB="0" distL="0" distR="0" wp14:anchorId="39F8DB5F" wp14:editId="21B8E04D">
                            <wp:extent cx="284400" cy="284400"/>
                            <wp:effectExtent l="0" t="0" r="1905" b="1905"/>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Logo Twitter2.png"/>
                                    <pic:cNvPicPr/>
                                  </pic:nvPicPr>
                                  <pic:blipFill rotWithShape="1">
                                    <a:blip r:embed="rId16">
                                      <a:extLst>
                                        <a:ext uri="{28A0092B-C50C-407E-A947-70E740481C1C}">
                                          <a14:useLocalDpi xmlns:a14="http://schemas.microsoft.com/office/drawing/2010/main" val="0"/>
                                        </a:ext>
                                      </a:extLst>
                                    </a:blip>
                                    <a:srcRect l="15672" r="16670" b="701"/>
                                    <a:stretch/>
                                  </pic:blipFill>
                                  <pic:spPr bwMode="auto">
                                    <a:xfrm>
                                      <a:off x="0" y="0"/>
                                      <a:ext cx="284400" cy="284400"/>
                                    </a:xfrm>
                                    <a:prstGeom prst="rect">
                                      <a:avLst/>
                                    </a:prstGeom>
                                    <a:ln>
                                      <a:noFill/>
                                    </a:ln>
                                    <a:extLst>
                                      <a:ext uri="{53640926-AAD7-44D8-BBD7-CCE9431645EC}">
                                        <a14:shadowObscured xmlns:a14="http://schemas.microsoft.com/office/drawing/2010/main"/>
                                      </a:ext>
                                    </a:extLst>
                                  </pic:spPr>
                                </pic:pic>
                              </a:graphicData>
                            </a:graphic>
                          </wp:inline>
                        </w:drawing>
                      </w:r>
                      <w:r w:rsidRPr="0099277C">
                        <w:rPr>
                          <w:rFonts w:ascii="Arial" w:hAnsi="Arial"/>
                          <w:color w:val="000000"/>
                          <w:sz w:val="16"/>
                          <w:szCs w:val="16"/>
                        </w:rPr>
                        <w:t xml:space="preserve">  </w:t>
                      </w:r>
                      <w:r w:rsidRPr="0099277C">
                        <w:rPr>
                          <w:noProof/>
                          <w:color w:val="000000"/>
                          <w:sz w:val="16"/>
                          <w:szCs w:val="16"/>
                        </w:rPr>
                        <w:drawing>
                          <wp:inline distT="0" distB="0" distL="0" distR="0" wp14:anchorId="1D9E4FFB" wp14:editId="453BD1D7">
                            <wp:extent cx="281781" cy="285750"/>
                            <wp:effectExtent l="0" t="0" r="4445" b="0"/>
                            <wp:docPr id="8" name="Imag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81781" cy="285750"/>
                                    </a:xfrm>
                                    <a:prstGeom prst="rect">
                                      <a:avLst/>
                                    </a:prstGeom>
                                    <a:noFill/>
                                    <a:ln>
                                      <a:noFill/>
                                    </a:ln>
                                  </pic:spPr>
                                </pic:pic>
                              </a:graphicData>
                            </a:graphic>
                          </wp:inline>
                        </w:drawing>
                      </w:r>
                      <w:r w:rsidRPr="0099277C">
                        <w:rPr>
                          <w:noProof/>
                          <w:color w:val="000000"/>
                          <w:sz w:val="16"/>
                          <w:szCs w:val="16"/>
                        </w:rPr>
                        <w:drawing>
                          <wp:inline distT="0" distB="0" distL="0" distR="0" wp14:anchorId="27306027" wp14:editId="407CF21D">
                            <wp:extent cx="3773170" cy="41211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3170" cy="412115"/>
                                    </a:xfrm>
                                    <a:prstGeom prst="rect">
                                      <a:avLst/>
                                    </a:prstGeom>
                                    <a:noFill/>
                                    <a:ln>
                                      <a:noFill/>
                                    </a:ln>
                                  </pic:spPr>
                                </pic:pic>
                              </a:graphicData>
                            </a:graphic>
                          </wp:inline>
                        </w:drawing>
                      </w:r>
                    </w:p>
                    <w:p w14:paraId="31F83442" w14:textId="5C04594C" w:rsidR="006E4F60" w:rsidRPr="0099277C" w:rsidRDefault="006E4F60" w:rsidP="006E4F60">
                      <w:pPr>
                        <w:keepNext/>
                        <w:autoSpaceDE w:val="0"/>
                        <w:autoSpaceDN w:val="0"/>
                        <w:adjustRightInd w:val="0"/>
                        <w:ind w:left="1276"/>
                        <w:jc w:val="left"/>
                        <w:rPr>
                          <w:rFonts w:ascii="Arial" w:hAnsi="Arial" w:cs="Arial"/>
                          <w:color w:val="0000FF"/>
                          <w:sz w:val="16"/>
                          <w:szCs w:val="16"/>
                        </w:rPr>
                      </w:pPr>
                      <w:r w:rsidRPr="0099277C">
                        <w:rPr>
                          <w:rFonts w:ascii="Arial" w:hAnsi="Arial" w:cs="Arial"/>
                          <w:color w:val="0000FF"/>
                          <w:sz w:val="16"/>
                          <w:szCs w:val="16"/>
                        </w:rPr>
                        <w:t>#BEYONDBUILDINGS</w:t>
                      </w:r>
                    </w:p>
                  </w:txbxContent>
                </v:textbox>
                <w10:wrap anchorx="margin"/>
              </v:rect>
            </w:pict>
          </mc:Fallback>
        </mc:AlternateContent>
      </w:r>
    </w:p>
    <w:p w14:paraId="59DE1213" w14:textId="2D840B89" w:rsidR="00782E41" w:rsidRPr="0099277C" w:rsidRDefault="00782E41" w:rsidP="004C5425">
      <w:pPr>
        <w:spacing w:line="360" w:lineRule="auto"/>
        <w:rPr>
          <w:rFonts w:cstheme="minorHAnsi"/>
          <w:lang w:val="nl-BE"/>
        </w:rPr>
      </w:pPr>
    </w:p>
    <w:p w14:paraId="37685000" w14:textId="77777777" w:rsidR="00752921" w:rsidRPr="0099277C" w:rsidRDefault="00752921" w:rsidP="00422A2C">
      <w:pPr>
        <w:spacing w:line="240" w:lineRule="auto"/>
        <w:rPr>
          <w:rFonts w:ascii="Arial" w:eastAsia="Calibri" w:hAnsi="Arial" w:cs="Arial"/>
          <w:strike/>
          <w:sz w:val="22"/>
          <w:lang w:val="nl-BE"/>
        </w:rPr>
      </w:pPr>
    </w:p>
    <w:p w14:paraId="37D1D576" w14:textId="5488B732" w:rsidR="00752921" w:rsidRPr="0099277C" w:rsidRDefault="00752921" w:rsidP="0001613E">
      <w:pPr>
        <w:jc w:val="left"/>
        <w:rPr>
          <w:lang w:val="nl-BE"/>
        </w:rPr>
      </w:pPr>
    </w:p>
    <w:p w14:paraId="07F6D1F5" w14:textId="77777777" w:rsidR="00752921" w:rsidRPr="0099277C" w:rsidRDefault="00752921" w:rsidP="0001613E">
      <w:pPr>
        <w:pStyle w:val="Title"/>
        <w:spacing w:before="100" w:beforeAutospacing="1" w:after="100" w:afterAutospacing="1" w:line="240" w:lineRule="auto"/>
        <w:rPr>
          <w:sz w:val="24"/>
          <w:lang w:val="nl-BE"/>
        </w:rPr>
      </w:pPr>
    </w:p>
    <w:p w14:paraId="22E15F6D" w14:textId="07CAE55B" w:rsidR="00752921" w:rsidRPr="0099277C" w:rsidRDefault="00752921" w:rsidP="0001613E">
      <w:pPr>
        <w:jc w:val="left"/>
        <w:rPr>
          <w:lang w:val="nl-BE"/>
        </w:rPr>
      </w:pPr>
    </w:p>
    <w:p w14:paraId="3B168DA6" w14:textId="77777777" w:rsidR="00752921" w:rsidRPr="0099277C" w:rsidRDefault="00752921" w:rsidP="0001613E">
      <w:pPr>
        <w:jc w:val="left"/>
        <w:rPr>
          <w:lang w:val="nl-BE"/>
        </w:rPr>
      </w:pPr>
    </w:p>
    <w:p w14:paraId="6B44E3DB" w14:textId="77777777" w:rsidR="00752921" w:rsidRPr="0099277C" w:rsidRDefault="00752921" w:rsidP="0001613E">
      <w:pPr>
        <w:jc w:val="left"/>
        <w:rPr>
          <w:lang w:val="nl-BE"/>
        </w:rPr>
      </w:pPr>
    </w:p>
    <w:p w14:paraId="4CE63E7F" w14:textId="7E4A7450" w:rsidR="00752921" w:rsidRPr="0099277C" w:rsidRDefault="00752921" w:rsidP="0001613E">
      <w:pPr>
        <w:tabs>
          <w:tab w:val="left" w:pos="1267"/>
        </w:tabs>
        <w:jc w:val="left"/>
        <w:rPr>
          <w:lang w:val="nl-BE"/>
        </w:rPr>
      </w:pPr>
    </w:p>
    <w:p w14:paraId="37F86461" w14:textId="095D162E" w:rsidR="00752921" w:rsidRPr="0099277C" w:rsidRDefault="00C05981" w:rsidP="00752921">
      <w:pPr>
        <w:tabs>
          <w:tab w:val="left" w:pos="1267"/>
        </w:tabs>
        <w:rPr>
          <w:lang w:val="nl-BE"/>
        </w:rPr>
      </w:pPr>
      <w:r w:rsidRPr="0099277C">
        <w:rPr>
          <w:rFonts w:ascii="Arial" w:hAnsi="Arial" w:cs="Arial"/>
          <w:noProof/>
          <w:color w:val="808080"/>
          <w:sz w:val="16"/>
          <w:szCs w:val="16"/>
          <w:lang w:val="nl-BE"/>
        </w:rPr>
        <mc:AlternateContent>
          <mc:Choice Requires="wps">
            <w:drawing>
              <wp:anchor distT="0" distB="0" distL="114300" distR="114300" simplePos="0" relativeHeight="251664896" behindDoc="0" locked="0" layoutInCell="1" allowOverlap="1" wp14:anchorId="609FC82C" wp14:editId="39BC39B0">
                <wp:simplePos x="0" y="0"/>
                <wp:positionH relativeFrom="margin">
                  <wp:posOffset>-28608</wp:posOffset>
                </wp:positionH>
                <wp:positionV relativeFrom="paragraph">
                  <wp:posOffset>121657</wp:posOffset>
                </wp:positionV>
                <wp:extent cx="6489065" cy="609600"/>
                <wp:effectExtent l="0" t="0" r="26035" b="19050"/>
                <wp:wrapNone/>
                <wp:docPr id="19" name="Rectangle 19"/>
                <wp:cNvGraphicFramePr/>
                <a:graphic xmlns:a="http://schemas.openxmlformats.org/drawingml/2006/main">
                  <a:graphicData uri="http://schemas.microsoft.com/office/word/2010/wordprocessingShape">
                    <wps:wsp>
                      <wps:cNvSpPr/>
                      <wps:spPr>
                        <a:xfrm>
                          <a:off x="0" y="0"/>
                          <a:ext cx="6489065" cy="6096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7A7906B" w14:textId="77777777" w:rsidR="006E4F60" w:rsidRPr="0099277C" w:rsidRDefault="006E4F60" w:rsidP="006E4F60">
                            <w:pPr>
                              <w:pStyle w:val="Footer"/>
                              <w:tabs>
                                <w:tab w:val="left" w:pos="142"/>
                              </w:tabs>
                              <w:rPr>
                                <w:rFonts w:ascii="Arial" w:hAnsi="Arial" w:cs="Arial"/>
                                <w:b/>
                                <w:color w:val="808080"/>
                                <w:sz w:val="16"/>
                                <w:szCs w:val="18"/>
                              </w:rPr>
                            </w:pPr>
                            <w:proofErr w:type="spellStart"/>
                            <w:r w:rsidRPr="0099277C">
                              <w:rPr>
                                <w:rFonts w:ascii="Arial" w:hAnsi="Arial"/>
                                <w:b/>
                                <w:bCs/>
                                <w:color w:val="004231"/>
                                <w:sz w:val="18"/>
                              </w:rPr>
                              <w:t>Press</w:t>
                            </w:r>
                            <w:proofErr w:type="spellEnd"/>
                            <w:r w:rsidRPr="0099277C">
                              <w:rPr>
                                <w:rFonts w:ascii="Arial" w:hAnsi="Arial"/>
                                <w:b/>
                                <w:bCs/>
                                <w:color w:val="004231"/>
                                <w:sz w:val="18"/>
                              </w:rPr>
                              <w:t xml:space="preserve"> contacts:</w:t>
                            </w:r>
                          </w:p>
                          <w:p w14:paraId="425C0228" w14:textId="77777777" w:rsidR="006E4F60" w:rsidRPr="0099277C" w:rsidRDefault="006E4F60" w:rsidP="006E4F60">
                            <w:pPr>
                              <w:pStyle w:val="Footer"/>
                              <w:tabs>
                                <w:tab w:val="left" w:pos="142"/>
                              </w:tabs>
                              <w:rPr>
                                <w:rFonts w:ascii="Arial" w:hAnsi="Arial" w:cs="Arial"/>
                                <w:b/>
                                <w:color w:val="808080"/>
                                <w:sz w:val="16"/>
                                <w:szCs w:val="18"/>
                              </w:rPr>
                            </w:pPr>
                            <w:r w:rsidRPr="0099277C">
                              <w:rPr>
                                <w:rFonts w:ascii="Arial" w:hAnsi="Arial" w:cs="Arial"/>
                                <w:b/>
                                <w:bCs/>
                                <w:color w:val="808080"/>
                                <w:sz w:val="16"/>
                                <w:szCs w:val="18"/>
                              </w:rPr>
                              <w:t xml:space="preserve">Capucine </w:t>
                            </w:r>
                            <w:proofErr w:type="spellStart"/>
                            <w:r w:rsidRPr="0099277C">
                              <w:rPr>
                                <w:rFonts w:ascii="Arial" w:hAnsi="Arial" w:cs="Arial"/>
                                <w:b/>
                                <w:bCs/>
                                <w:color w:val="808080"/>
                                <w:sz w:val="16"/>
                                <w:szCs w:val="18"/>
                              </w:rPr>
                              <w:t>Marescal</w:t>
                            </w:r>
                            <w:proofErr w:type="spellEnd"/>
                            <w:r w:rsidRPr="0099277C">
                              <w:rPr>
                                <w:rFonts w:ascii="Arial" w:hAnsi="Arial" w:cs="Arial"/>
                                <w:b/>
                                <w:bCs/>
                                <w:color w:val="808080"/>
                                <w:sz w:val="16"/>
                                <w:szCs w:val="18"/>
                              </w:rPr>
                              <w:t xml:space="preserve">: </w:t>
                            </w:r>
                            <w:r w:rsidRPr="0099277C">
                              <w:rPr>
                                <w:rFonts w:ascii="Arial" w:hAnsi="Arial" w:cs="Arial"/>
                                <w:color w:val="808080"/>
                                <w:sz w:val="16"/>
                                <w:szCs w:val="18"/>
                              </w:rPr>
                              <w:t>+33 (0)6 40 10 78 28</w:t>
                            </w:r>
                            <w:r w:rsidRPr="0099277C">
                              <w:rPr>
                                <w:rFonts w:ascii="Arial" w:hAnsi="Arial" w:cs="Arial"/>
                                <w:b/>
                                <w:bCs/>
                                <w:color w:val="808080"/>
                                <w:sz w:val="16"/>
                                <w:szCs w:val="18"/>
                              </w:rPr>
                              <w:t xml:space="preserve"> / Amira </w:t>
                            </w:r>
                            <w:proofErr w:type="spellStart"/>
                            <w:r w:rsidRPr="0099277C">
                              <w:rPr>
                                <w:rFonts w:ascii="Arial" w:hAnsi="Arial" w:cs="Arial"/>
                                <w:b/>
                                <w:bCs/>
                                <w:color w:val="808080"/>
                                <w:sz w:val="16"/>
                                <w:szCs w:val="18"/>
                              </w:rPr>
                              <w:t>Tahirovic</w:t>
                            </w:r>
                            <w:proofErr w:type="spellEnd"/>
                            <w:r w:rsidRPr="0099277C">
                              <w:rPr>
                                <w:rFonts w:ascii="Arial" w:hAnsi="Arial" w:cs="Arial"/>
                                <w:b/>
                                <w:bCs/>
                                <w:color w:val="808080"/>
                                <w:sz w:val="16"/>
                                <w:szCs w:val="18"/>
                              </w:rPr>
                              <w:t>:</w:t>
                            </w:r>
                            <w:r w:rsidRPr="0099277C">
                              <w:rPr>
                                <w:rFonts w:ascii="Arial" w:hAnsi="Arial" w:cs="Arial"/>
                                <w:color w:val="808080"/>
                                <w:sz w:val="16"/>
                                <w:szCs w:val="18"/>
                              </w:rPr>
                              <w:t xml:space="preserve"> +33 (0)6 37 78 12 17 / </w:t>
                            </w:r>
                            <w:r w:rsidRPr="0099277C">
                              <w:rPr>
                                <w:rFonts w:ascii="Arial" w:hAnsi="Arial" w:cs="Arial"/>
                                <w:b/>
                                <w:bCs/>
                                <w:color w:val="808080"/>
                                <w:sz w:val="16"/>
                                <w:szCs w:val="18"/>
                              </w:rPr>
                              <w:t>Charlotte Rémond:</w:t>
                            </w:r>
                            <w:r w:rsidRPr="0099277C">
                              <w:rPr>
                                <w:rFonts w:ascii="Arial" w:hAnsi="Arial" w:cs="Arial"/>
                                <w:color w:val="808080"/>
                                <w:sz w:val="16"/>
                                <w:szCs w:val="18"/>
                              </w:rPr>
                              <w:t xml:space="preserve"> +33 (0)6 78 18 57 87</w:t>
                            </w:r>
                          </w:p>
                          <w:p w14:paraId="5ECB9597" w14:textId="77777777" w:rsidR="006E4F60" w:rsidRPr="0099277C" w:rsidRDefault="006E101C" w:rsidP="006E4F60">
                            <w:pPr>
                              <w:pStyle w:val="Footer"/>
                              <w:tabs>
                                <w:tab w:val="left" w:pos="142"/>
                              </w:tabs>
                              <w:rPr>
                                <w:noProof/>
                              </w:rPr>
                            </w:pPr>
                            <w:hyperlink r:id="rId20" w:history="1">
                              <w:r w:rsidRPr="0099277C">
                                <w:rPr>
                                  <w:rStyle w:val="Hyperlink"/>
                                  <w:rFonts w:ascii="Arial" w:hAnsi="Arial" w:cs="Arial"/>
                                  <w:sz w:val="16"/>
                                  <w:szCs w:val="16"/>
                                </w:rPr>
                                <w:t>presse.realestate@realestate.bnpparibas</w:t>
                              </w:r>
                            </w:hyperlink>
                          </w:p>
                          <w:p w14:paraId="4336B29F" w14:textId="77777777" w:rsidR="006E4F60" w:rsidRPr="0099277C" w:rsidRDefault="006E4F60" w:rsidP="006E4F60">
                            <w:pPr>
                              <w:jc w:val="center"/>
                            </w:pPr>
                          </w:p>
                        </w:txbxContent>
                      </wps:txbx>
                      <wps:bodyPr rot="0" spcFirstLastPara="0" vertOverflow="overflow" horzOverflow="overflow" vert="horz" wrap="square" lIns="91440" tIns="90000" rIns="91440" bIns="9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FC82C" id="Rectangle 19" o:spid="_x0000_s1028" style="position:absolute;left:0;text-align:left;margin-left:-2.25pt;margin-top:9.6pt;width:510.95pt;height:4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" filled="f" strokecolor="black [3213]">
                <v:stroke dashstyle="3 1"/>
                <v:textbox inset=",2.5mm,,2.5mm">
                  <w:txbxContent>
                    <w:p w14:paraId="07A7906B" w14:textId="77777777" w:rsidR="006E4F60" w:rsidRPr="0099277C" w:rsidRDefault="006E4F60" w:rsidP="006E4F60">
                      <w:pPr>
                        <w:pStyle w:val="Footer"/>
                        <w:tabs>
                          <w:tab w:val="left" w:pos="142"/>
                        </w:tabs>
                        <w:rPr>
                          <w:rFonts w:ascii="Arial" w:hAnsi="Arial" w:cs="Arial"/>
                          <w:b/>
                          <w:color w:val="808080"/>
                          <w:sz w:val="16"/>
                          <w:szCs w:val="18"/>
                        </w:rPr>
                      </w:pPr>
                      <w:proofErr w:type="spellStart"/>
                      <w:r w:rsidRPr="0099277C">
                        <w:rPr>
                          <w:rFonts w:ascii="Arial" w:hAnsi="Arial"/>
                          <w:b/>
                          <w:bCs/>
                          <w:color w:val="004231"/>
                          <w:sz w:val="18"/>
                        </w:rPr>
                        <w:t>Press</w:t>
                      </w:r>
                      <w:proofErr w:type="spellEnd"/>
                      <w:r w:rsidRPr="0099277C">
                        <w:rPr>
                          <w:rFonts w:ascii="Arial" w:hAnsi="Arial"/>
                          <w:b/>
                          <w:bCs/>
                          <w:color w:val="004231"/>
                          <w:sz w:val="18"/>
                        </w:rPr>
                        <w:t xml:space="preserve"> contacts:</w:t>
                      </w:r>
                    </w:p>
                    <w:p w14:paraId="425C0228" w14:textId="77777777" w:rsidR="006E4F60" w:rsidRPr="0099277C" w:rsidRDefault="006E4F60" w:rsidP="006E4F60">
                      <w:pPr>
                        <w:pStyle w:val="Footer"/>
                        <w:tabs>
                          <w:tab w:val="left" w:pos="142"/>
                        </w:tabs>
                        <w:rPr>
                          <w:rFonts w:ascii="Arial" w:hAnsi="Arial" w:cs="Arial"/>
                          <w:b/>
                          <w:color w:val="808080"/>
                          <w:sz w:val="16"/>
                          <w:szCs w:val="18"/>
                        </w:rPr>
                      </w:pPr>
                      <w:r w:rsidRPr="0099277C">
                        <w:rPr>
                          <w:rFonts w:ascii="Arial" w:hAnsi="Arial" w:cs="Arial"/>
                          <w:b/>
                          <w:bCs/>
                          <w:color w:val="808080"/>
                          <w:sz w:val="16"/>
                          <w:szCs w:val="18"/>
                        </w:rPr>
                        <w:t xml:space="preserve">Capucine </w:t>
                      </w:r>
                      <w:proofErr w:type="spellStart"/>
                      <w:r w:rsidRPr="0099277C">
                        <w:rPr>
                          <w:rFonts w:ascii="Arial" w:hAnsi="Arial" w:cs="Arial"/>
                          <w:b/>
                          <w:bCs/>
                          <w:color w:val="808080"/>
                          <w:sz w:val="16"/>
                          <w:szCs w:val="18"/>
                        </w:rPr>
                        <w:t>Marescal</w:t>
                      </w:r>
                      <w:proofErr w:type="spellEnd"/>
                      <w:r w:rsidRPr="0099277C">
                        <w:rPr>
                          <w:rFonts w:ascii="Arial" w:hAnsi="Arial" w:cs="Arial"/>
                          <w:b/>
                          <w:bCs/>
                          <w:color w:val="808080"/>
                          <w:sz w:val="16"/>
                          <w:szCs w:val="18"/>
                        </w:rPr>
                        <w:t xml:space="preserve">: </w:t>
                      </w:r>
                      <w:r w:rsidRPr="0099277C">
                        <w:rPr>
                          <w:rFonts w:ascii="Arial" w:hAnsi="Arial" w:cs="Arial"/>
                          <w:color w:val="808080"/>
                          <w:sz w:val="16"/>
                          <w:szCs w:val="18"/>
                        </w:rPr>
                        <w:t>+33 (0)6 40 10 78 28</w:t>
                      </w:r>
                      <w:r w:rsidRPr="0099277C">
                        <w:rPr>
                          <w:rFonts w:ascii="Arial" w:hAnsi="Arial" w:cs="Arial"/>
                          <w:b/>
                          <w:bCs/>
                          <w:color w:val="808080"/>
                          <w:sz w:val="16"/>
                          <w:szCs w:val="18"/>
                        </w:rPr>
                        <w:t xml:space="preserve"> / Amira </w:t>
                      </w:r>
                      <w:proofErr w:type="spellStart"/>
                      <w:r w:rsidRPr="0099277C">
                        <w:rPr>
                          <w:rFonts w:ascii="Arial" w:hAnsi="Arial" w:cs="Arial"/>
                          <w:b/>
                          <w:bCs/>
                          <w:color w:val="808080"/>
                          <w:sz w:val="16"/>
                          <w:szCs w:val="18"/>
                        </w:rPr>
                        <w:t>Tahirovic</w:t>
                      </w:r>
                      <w:proofErr w:type="spellEnd"/>
                      <w:r w:rsidRPr="0099277C">
                        <w:rPr>
                          <w:rFonts w:ascii="Arial" w:hAnsi="Arial" w:cs="Arial"/>
                          <w:b/>
                          <w:bCs/>
                          <w:color w:val="808080"/>
                          <w:sz w:val="16"/>
                          <w:szCs w:val="18"/>
                        </w:rPr>
                        <w:t>:</w:t>
                      </w:r>
                      <w:r w:rsidRPr="0099277C">
                        <w:rPr>
                          <w:rFonts w:ascii="Arial" w:hAnsi="Arial" w:cs="Arial"/>
                          <w:color w:val="808080"/>
                          <w:sz w:val="16"/>
                          <w:szCs w:val="18"/>
                        </w:rPr>
                        <w:t xml:space="preserve"> +33 (0)6 37 78 12 17 / </w:t>
                      </w:r>
                      <w:r w:rsidRPr="0099277C">
                        <w:rPr>
                          <w:rFonts w:ascii="Arial" w:hAnsi="Arial" w:cs="Arial"/>
                          <w:b/>
                          <w:bCs/>
                          <w:color w:val="808080"/>
                          <w:sz w:val="16"/>
                          <w:szCs w:val="18"/>
                        </w:rPr>
                        <w:t>Charlotte Rémond:</w:t>
                      </w:r>
                      <w:r w:rsidRPr="0099277C">
                        <w:rPr>
                          <w:rFonts w:ascii="Arial" w:hAnsi="Arial" w:cs="Arial"/>
                          <w:color w:val="808080"/>
                          <w:sz w:val="16"/>
                          <w:szCs w:val="18"/>
                        </w:rPr>
                        <w:t xml:space="preserve"> +33 (0)6 78 18 57 87</w:t>
                      </w:r>
                    </w:p>
                    <w:p w14:paraId="5ECB9597" w14:textId="77777777" w:rsidR="006E4F60" w:rsidRPr="0099277C" w:rsidRDefault="006E101C" w:rsidP="006E4F60">
                      <w:pPr>
                        <w:pStyle w:val="Footer"/>
                        <w:tabs>
                          <w:tab w:val="left" w:pos="142"/>
                        </w:tabs>
                        <w:rPr>
                          <w:noProof/>
                        </w:rPr>
                      </w:pPr>
                      <w:hyperlink r:id="rId21" w:history="1">
                        <w:r w:rsidRPr="0099277C">
                          <w:rPr>
                            <w:rStyle w:val="Hyperlink"/>
                            <w:rFonts w:ascii="Arial" w:hAnsi="Arial" w:cs="Arial"/>
                            <w:sz w:val="16"/>
                            <w:szCs w:val="16"/>
                          </w:rPr>
                          <w:t>presse.realestate@realestate.bnpparibas</w:t>
                        </w:r>
                      </w:hyperlink>
                    </w:p>
                    <w:p w14:paraId="4336B29F" w14:textId="77777777" w:rsidR="006E4F60" w:rsidRPr="0099277C" w:rsidRDefault="006E4F60" w:rsidP="006E4F60">
                      <w:pPr>
                        <w:jc w:val="center"/>
                      </w:pPr>
                    </w:p>
                  </w:txbxContent>
                </v:textbox>
                <w10:wrap anchorx="margin"/>
              </v:rect>
            </w:pict>
          </mc:Fallback>
        </mc:AlternateContent>
      </w:r>
    </w:p>
    <w:p w14:paraId="4F2FB9B3" w14:textId="77777777" w:rsidR="00752921" w:rsidRPr="0099277C" w:rsidRDefault="00752921" w:rsidP="00752921">
      <w:pPr>
        <w:autoSpaceDE w:val="0"/>
        <w:autoSpaceDN w:val="0"/>
        <w:adjustRightInd w:val="0"/>
        <w:rPr>
          <w:rFonts w:ascii="Arial" w:hAnsi="Arial" w:cs="Arial"/>
          <w:sz w:val="16"/>
          <w:szCs w:val="16"/>
          <w:lang w:val="nl-BE"/>
        </w:rPr>
      </w:pPr>
      <w:r w:rsidRPr="0099277C">
        <w:rPr>
          <w:rFonts w:ascii="Arial" w:hAnsi="Arial"/>
          <w:color w:val="808080"/>
          <w:sz w:val="16"/>
          <w:lang w:val="nl-BE"/>
        </w:rPr>
        <w:t xml:space="preserve"> </w:t>
      </w:r>
    </w:p>
    <w:p w14:paraId="74F3E768" w14:textId="77777777" w:rsidR="00752921" w:rsidRPr="0099277C" w:rsidRDefault="00752921" w:rsidP="00752921">
      <w:pPr>
        <w:autoSpaceDE w:val="0"/>
        <w:autoSpaceDN w:val="0"/>
        <w:adjustRightInd w:val="0"/>
        <w:rPr>
          <w:rFonts w:ascii="Arial" w:hAnsi="Arial" w:cs="Arial"/>
          <w:sz w:val="16"/>
          <w:szCs w:val="16"/>
          <w:lang w:val="nl-BE"/>
        </w:rPr>
      </w:pPr>
    </w:p>
    <w:p w14:paraId="2D6F43F1" w14:textId="0DCD9998" w:rsidR="00752921" w:rsidRPr="0099277C" w:rsidRDefault="00752921" w:rsidP="00752921">
      <w:pPr>
        <w:autoSpaceDE w:val="0"/>
        <w:autoSpaceDN w:val="0"/>
        <w:adjustRightInd w:val="0"/>
        <w:rPr>
          <w:rFonts w:ascii="Arial" w:hAnsi="Arial" w:cs="Arial"/>
          <w:sz w:val="16"/>
          <w:szCs w:val="16"/>
          <w:lang w:val="nl-BE"/>
        </w:rPr>
      </w:pPr>
    </w:p>
    <w:sectPr w:rsidR="00752921" w:rsidRPr="0099277C" w:rsidSect="00543036">
      <w:footerReference w:type="default" r:id="rId22"/>
      <w:pgSz w:w="11906" w:h="16838" w:code="9"/>
      <w:pgMar w:top="709" w:right="851" w:bottom="1276" w:left="851" w:header="0" w:footer="1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69805" w14:textId="77777777" w:rsidR="00116823" w:rsidRDefault="00116823" w:rsidP="008C4C01">
      <w:r>
        <w:separator/>
      </w:r>
    </w:p>
  </w:endnote>
  <w:endnote w:type="continuationSeparator" w:id="0">
    <w:p w14:paraId="00E48F84" w14:textId="77777777" w:rsidR="00116823" w:rsidRDefault="00116823"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45 Light">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192D" w14:textId="22182463" w:rsidR="001174CD" w:rsidRPr="00B060E1" w:rsidRDefault="00742287" w:rsidP="0068738D">
    <w:pPr>
      <w:pStyle w:val="Footer"/>
      <w:jc w:val="left"/>
    </w:pPr>
    <w:r>
      <w:rPr>
        <w:noProof/>
        <w:lang w:val="nl-BE"/>
      </w:rPr>
      <w:drawing>
        <wp:anchor distT="0" distB="0" distL="114300" distR="114300" simplePos="0" relativeHeight="251657216" behindDoc="0" locked="0" layoutInCell="1" allowOverlap="1" wp14:anchorId="52E344C8" wp14:editId="1338B92B">
          <wp:simplePos x="0" y="0"/>
          <wp:positionH relativeFrom="column">
            <wp:posOffset>5357495</wp:posOffset>
          </wp:positionH>
          <wp:positionV relativeFrom="paragraph">
            <wp:posOffset>154305</wp:posOffset>
          </wp:positionV>
          <wp:extent cx="1123950" cy="862965"/>
          <wp:effectExtent l="0" t="0" r="0" b="0"/>
          <wp:wrapSquare wrapText="bothSides"/>
          <wp:docPr id="1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dition Publicité\Ericka\CHARTE 2015\CHARTE\BNPP_Sign_FR_IMMO\BNPP_Sign_FR3_3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2560" r="11044" b="-3218"/>
                  <a:stretch/>
                </pic:blipFill>
                <pic:spPr bwMode="auto">
                  <a:xfrm>
                    <a:off x="0" y="0"/>
                    <a:ext cx="1123950" cy="862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nl-BE"/>
      </w:rPr>
      <w:drawing>
        <wp:anchor distT="0" distB="0" distL="114300" distR="114300" simplePos="0" relativeHeight="251655168" behindDoc="0" locked="0" layoutInCell="1" allowOverlap="1" wp14:anchorId="6DAF911E" wp14:editId="035F219D">
          <wp:simplePos x="0" y="0"/>
          <wp:positionH relativeFrom="column">
            <wp:posOffset>-635</wp:posOffset>
          </wp:positionH>
          <wp:positionV relativeFrom="paragraph">
            <wp:posOffset>308610</wp:posOffset>
          </wp:positionV>
          <wp:extent cx="2632075" cy="498475"/>
          <wp:effectExtent l="0" t="0" r="0" b="0"/>
          <wp:wrapSquare wrapText="bothSides"/>
          <wp:docPr id="15" name="Image 15" descr="K:\Edition Publicité\Ericka\CHARTE 2015\CHARTE\RE_BL_E_Q\RE_BL_E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dition Publicité\Ericka\CHARTE 2015\CHARTE\RE_BL_E_Q\RE_BL_E_Q.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102" t="16953" b="19011"/>
                  <a:stretch/>
                </pic:blipFill>
                <pic:spPr bwMode="auto">
                  <a:xfrm>
                    <a:off x="0" y="0"/>
                    <a:ext cx="2632075" cy="498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5171A" w14:textId="77777777" w:rsidR="00116823" w:rsidRDefault="00116823" w:rsidP="008C4C01">
      <w:r>
        <w:separator/>
      </w:r>
    </w:p>
  </w:footnote>
  <w:footnote w:type="continuationSeparator" w:id="0">
    <w:p w14:paraId="5CFC7DC3" w14:textId="77777777" w:rsidR="00116823" w:rsidRDefault="00116823" w:rsidP="008C4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uce" style="width:49.7pt;height:49.7pt;visibility:visible;mso-wrap-style:square" o:bullet="t">
        <v:imagedata r:id="rId1" o:title="puce"/>
      </v:shape>
    </w:pict>
  </w:numPicBullet>
  <w:abstractNum w:abstractNumId="0" w15:restartNumberingAfterBreak="0">
    <w:nsid w:val="0A67397A"/>
    <w:multiLevelType w:val="hybridMultilevel"/>
    <w:tmpl w:val="995A86B6"/>
    <w:lvl w:ilvl="0" w:tplc="9356B4BA">
      <w:start w:val="1"/>
      <w:numFmt w:val="bullet"/>
      <w:lvlText w:val="•"/>
      <w:lvlJc w:val="left"/>
      <w:pPr>
        <w:tabs>
          <w:tab w:val="num" w:pos="720"/>
        </w:tabs>
        <w:ind w:left="720" w:hanging="360"/>
      </w:pPr>
      <w:rPr>
        <w:rFonts w:ascii="Arial" w:hAnsi="Arial" w:hint="default"/>
      </w:rPr>
    </w:lvl>
    <w:lvl w:ilvl="1" w:tplc="D33AFB74" w:tentative="1">
      <w:start w:val="1"/>
      <w:numFmt w:val="bullet"/>
      <w:lvlText w:val="•"/>
      <w:lvlJc w:val="left"/>
      <w:pPr>
        <w:tabs>
          <w:tab w:val="num" w:pos="1440"/>
        </w:tabs>
        <w:ind w:left="1440" w:hanging="360"/>
      </w:pPr>
      <w:rPr>
        <w:rFonts w:ascii="Arial" w:hAnsi="Arial" w:hint="default"/>
      </w:rPr>
    </w:lvl>
    <w:lvl w:ilvl="2" w:tplc="52E0C15C" w:tentative="1">
      <w:start w:val="1"/>
      <w:numFmt w:val="bullet"/>
      <w:lvlText w:val="•"/>
      <w:lvlJc w:val="left"/>
      <w:pPr>
        <w:tabs>
          <w:tab w:val="num" w:pos="2160"/>
        </w:tabs>
        <w:ind w:left="2160" w:hanging="360"/>
      </w:pPr>
      <w:rPr>
        <w:rFonts w:ascii="Arial" w:hAnsi="Arial" w:hint="default"/>
      </w:rPr>
    </w:lvl>
    <w:lvl w:ilvl="3" w:tplc="81EA5A52" w:tentative="1">
      <w:start w:val="1"/>
      <w:numFmt w:val="bullet"/>
      <w:lvlText w:val="•"/>
      <w:lvlJc w:val="left"/>
      <w:pPr>
        <w:tabs>
          <w:tab w:val="num" w:pos="2880"/>
        </w:tabs>
        <w:ind w:left="2880" w:hanging="360"/>
      </w:pPr>
      <w:rPr>
        <w:rFonts w:ascii="Arial" w:hAnsi="Arial" w:hint="default"/>
      </w:rPr>
    </w:lvl>
    <w:lvl w:ilvl="4" w:tplc="8286C752" w:tentative="1">
      <w:start w:val="1"/>
      <w:numFmt w:val="bullet"/>
      <w:lvlText w:val="•"/>
      <w:lvlJc w:val="left"/>
      <w:pPr>
        <w:tabs>
          <w:tab w:val="num" w:pos="3600"/>
        </w:tabs>
        <w:ind w:left="3600" w:hanging="360"/>
      </w:pPr>
      <w:rPr>
        <w:rFonts w:ascii="Arial" w:hAnsi="Arial" w:hint="default"/>
      </w:rPr>
    </w:lvl>
    <w:lvl w:ilvl="5" w:tplc="3D72D328" w:tentative="1">
      <w:start w:val="1"/>
      <w:numFmt w:val="bullet"/>
      <w:lvlText w:val="•"/>
      <w:lvlJc w:val="left"/>
      <w:pPr>
        <w:tabs>
          <w:tab w:val="num" w:pos="4320"/>
        </w:tabs>
        <w:ind w:left="4320" w:hanging="360"/>
      </w:pPr>
      <w:rPr>
        <w:rFonts w:ascii="Arial" w:hAnsi="Arial" w:hint="default"/>
      </w:rPr>
    </w:lvl>
    <w:lvl w:ilvl="6" w:tplc="42646D2C" w:tentative="1">
      <w:start w:val="1"/>
      <w:numFmt w:val="bullet"/>
      <w:lvlText w:val="•"/>
      <w:lvlJc w:val="left"/>
      <w:pPr>
        <w:tabs>
          <w:tab w:val="num" w:pos="5040"/>
        </w:tabs>
        <w:ind w:left="5040" w:hanging="360"/>
      </w:pPr>
      <w:rPr>
        <w:rFonts w:ascii="Arial" w:hAnsi="Arial" w:hint="default"/>
      </w:rPr>
    </w:lvl>
    <w:lvl w:ilvl="7" w:tplc="B4F25402" w:tentative="1">
      <w:start w:val="1"/>
      <w:numFmt w:val="bullet"/>
      <w:lvlText w:val="•"/>
      <w:lvlJc w:val="left"/>
      <w:pPr>
        <w:tabs>
          <w:tab w:val="num" w:pos="5760"/>
        </w:tabs>
        <w:ind w:left="5760" w:hanging="360"/>
      </w:pPr>
      <w:rPr>
        <w:rFonts w:ascii="Arial" w:hAnsi="Arial" w:hint="default"/>
      </w:rPr>
    </w:lvl>
    <w:lvl w:ilvl="8" w:tplc="6BA413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6C592C"/>
    <w:multiLevelType w:val="hybridMultilevel"/>
    <w:tmpl w:val="7F402908"/>
    <w:lvl w:ilvl="0" w:tplc="7A00B08A">
      <w:start w:val="1"/>
      <w:numFmt w:val="bullet"/>
      <w:lvlText w:val="•"/>
      <w:lvlJc w:val="left"/>
      <w:pPr>
        <w:tabs>
          <w:tab w:val="num" w:pos="720"/>
        </w:tabs>
        <w:ind w:left="720" w:hanging="360"/>
      </w:pPr>
      <w:rPr>
        <w:rFonts w:ascii="Arial" w:hAnsi="Arial" w:hint="default"/>
      </w:rPr>
    </w:lvl>
    <w:lvl w:ilvl="1" w:tplc="3404D690" w:tentative="1">
      <w:start w:val="1"/>
      <w:numFmt w:val="bullet"/>
      <w:lvlText w:val="•"/>
      <w:lvlJc w:val="left"/>
      <w:pPr>
        <w:tabs>
          <w:tab w:val="num" w:pos="1440"/>
        </w:tabs>
        <w:ind w:left="1440" w:hanging="360"/>
      </w:pPr>
      <w:rPr>
        <w:rFonts w:ascii="Arial" w:hAnsi="Arial" w:hint="default"/>
      </w:rPr>
    </w:lvl>
    <w:lvl w:ilvl="2" w:tplc="FB4E7C7C" w:tentative="1">
      <w:start w:val="1"/>
      <w:numFmt w:val="bullet"/>
      <w:lvlText w:val="•"/>
      <w:lvlJc w:val="left"/>
      <w:pPr>
        <w:tabs>
          <w:tab w:val="num" w:pos="2160"/>
        </w:tabs>
        <w:ind w:left="2160" w:hanging="360"/>
      </w:pPr>
      <w:rPr>
        <w:rFonts w:ascii="Arial" w:hAnsi="Arial" w:hint="default"/>
      </w:rPr>
    </w:lvl>
    <w:lvl w:ilvl="3" w:tplc="1EBE9EAA" w:tentative="1">
      <w:start w:val="1"/>
      <w:numFmt w:val="bullet"/>
      <w:lvlText w:val="•"/>
      <w:lvlJc w:val="left"/>
      <w:pPr>
        <w:tabs>
          <w:tab w:val="num" w:pos="2880"/>
        </w:tabs>
        <w:ind w:left="2880" w:hanging="360"/>
      </w:pPr>
      <w:rPr>
        <w:rFonts w:ascii="Arial" w:hAnsi="Arial" w:hint="default"/>
      </w:rPr>
    </w:lvl>
    <w:lvl w:ilvl="4" w:tplc="5926790A" w:tentative="1">
      <w:start w:val="1"/>
      <w:numFmt w:val="bullet"/>
      <w:lvlText w:val="•"/>
      <w:lvlJc w:val="left"/>
      <w:pPr>
        <w:tabs>
          <w:tab w:val="num" w:pos="3600"/>
        </w:tabs>
        <w:ind w:left="3600" w:hanging="360"/>
      </w:pPr>
      <w:rPr>
        <w:rFonts w:ascii="Arial" w:hAnsi="Arial" w:hint="default"/>
      </w:rPr>
    </w:lvl>
    <w:lvl w:ilvl="5" w:tplc="D20A7BD4" w:tentative="1">
      <w:start w:val="1"/>
      <w:numFmt w:val="bullet"/>
      <w:lvlText w:val="•"/>
      <w:lvlJc w:val="left"/>
      <w:pPr>
        <w:tabs>
          <w:tab w:val="num" w:pos="4320"/>
        </w:tabs>
        <w:ind w:left="4320" w:hanging="360"/>
      </w:pPr>
      <w:rPr>
        <w:rFonts w:ascii="Arial" w:hAnsi="Arial" w:hint="default"/>
      </w:rPr>
    </w:lvl>
    <w:lvl w:ilvl="6" w:tplc="10D4DBD0" w:tentative="1">
      <w:start w:val="1"/>
      <w:numFmt w:val="bullet"/>
      <w:lvlText w:val="•"/>
      <w:lvlJc w:val="left"/>
      <w:pPr>
        <w:tabs>
          <w:tab w:val="num" w:pos="5040"/>
        </w:tabs>
        <w:ind w:left="5040" w:hanging="360"/>
      </w:pPr>
      <w:rPr>
        <w:rFonts w:ascii="Arial" w:hAnsi="Arial" w:hint="default"/>
      </w:rPr>
    </w:lvl>
    <w:lvl w:ilvl="7" w:tplc="5672E91C" w:tentative="1">
      <w:start w:val="1"/>
      <w:numFmt w:val="bullet"/>
      <w:lvlText w:val="•"/>
      <w:lvlJc w:val="left"/>
      <w:pPr>
        <w:tabs>
          <w:tab w:val="num" w:pos="5760"/>
        </w:tabs>
        <w:ind w:left="5760" w:hanging="360"/>
      </w:pPr>
      <w:rPr>
        <w:rFonts w:ascii="Arial" w:hAnsi="Arial" w:hint="default"/>
      </w:rPr>
    </w:lvl>
    <w:lvl w:ilvl="8" w:tplc="8F5A11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313783"/>
    <w:multiLevelType w:val="hybridMultilevel"/>
    <w:tmpl w:val="ACEC5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E26378"/>
    <w:multiLevelType w:val="hybridMultilevel"/>
    <w:tmpl w:val="79DC6536"/>
    <w:lvl w:ilvl="0" w:tplc="214A6322">
      <w:start w:val="1"/>
      <w:numFmt w:val="bullet"/>
      <w:lvlText w:val="•"/>
      <w:lvlJc w:val="left"/>
      <w:pPr>
        <w:tabs>
          <w:tab w:val="num" w:pos="720"/>
        </w:tabs>
        <w:ind w:left="720" w:hanging="360"/>
      </w:pPr>
      <w:rPr>
        <w:rFonts w:ascii="Arial" w:hAnsi="Arial" w:hint="default"/>
      </w:rPr>
    </w:lvl>
    <w:lvl w:ilvl="1" w:tplc="805A8D9E" w:tentative="1">
      <w:start w:val="1"/>
      <w:numFmt w:val="bullet"/>
      <w:lvlText w:val="•"/>
      <w:lvlJc w:val="left"/>
      <w:pPr>
        <w:tabs>
          <w:tab w:val="num" w:pos="1440"/>
        </w:tabs>
        <w:ind w:left="1440" w:hanging="360"/>
      </w:pPr>
      <w:rPr>
        <w:rFonts w:ascii="Arial" w:hAnsi="Arial" w:hint="default"/>
      </w:rPr>
    </w:lvl>
    <w:lvl w:ilvl="2" w:tplc="7F8A6C10" w:tentative="1">
      <w:start w:val="1"/>
      <w:numFmt w:val="bullet"/>
      <w:lvlText w:val="•"/>
      <w:lvlJc w:val="left"/>
      <w:pPr>
        <w:tabs>
          <w:tab w:val="num" w:pos="2160"/>
        </w:tabs>
        <w:ind w:left="2160" w:hanging="360"/>
      </w:pPr>
      <w:rPr>
        <w:rFonts w:ascii="Arial" w:hAnsi="Arial" w:hint="default"/>
      </w:rPr>
    </w:lvl>
    <w:lvl w:ilvl="3" w:tplc="09F07F18" w:tentative="1">
      <w:start w:val="1"/>
      <w:numFmt w:val="bullet"/>
      <w:lvlText w:val="•"/>
      <w:lvlJc w:val="left"/>
      <w:pPr>
        <w:tabs>
          <w:tab w:val="num" w:pos="2880"/>
        </w:tabs>
        <w:ind w:left="2880" w:hanging="360"/>
      </w:pPr>
      <w:rPr>
        <w:rFonts w:ascii="Arial" w:hAnsi="Arial" w:hint="default"/>
      </w:rPr>
    </w:lvl>
    <w:lvl w:ilvl="4" w:tplc="53C4EC7E" w:tentative="1">
      <w:start w:val="1"/>
      <w:numFmt w:val="bullet"/>
      <w:lvlText w:val="•"/>
      <w:lvlJc w:val="left"/>
      <w:pPr>
        <w:tabs>
          <w:tab w:val="num" w:pos="3600"/>
        </w:tabs>
        <w:ind w:left="3600" w:hanging="360"/>
      </w:pPr>
      <w:rPr>
        <w:rFonts w:ascii="Arial" w:hAnsi="Arial" w:hint="default"/>
      </w:rPr>
    </w:lvl>
    <w:lvl w:ilvl="5" w:tplc="1EB6A498" w:tentative="1">
      <w:start w:val="1"/>
      <w:numFmt w:val="bullet"/>
      <w:lvlText w:val="•"/>
      <w:lvlJc w:val="left"/>
      <w:pPr>
        <w:tabs>
          <w:tab w:val="num" w:pos="4320"/>
        </w:tabs>
        <w:ind w:left="4320" w:hanging="360"/>
      </w:pPr>
      <w:rPr>
        <w:rFonts w:ascii="Arial" w:hAnsi="Arial" w:hint="default"/>
      </w:rPr>
    </w:lvl>
    <w:lvl w:ilvl="6" w:tplc="CF84B034" w:tentative="1">
      <w:start w:val="1"/>
      <w:numFmt w:val="bullet"/>
      <w:lvlText w:val="•"/>
      <w:lvlJc w:val="left"/>
      <w:pPr>
        <w:tabs>
          <w:tab w:val="num" w:pos="5040"/>
        </w:tabs>
        <w:ind w:left="5040" w:hanging="360"/>
      </w:pPr>
      <w:rPr>
        <w:rFonts w:ascii="Arial" w:hAnsi="Arial" w:hint="default"/>
      </w:rPr>
    </w:lvl>
    <w:lvl w:ilvl="7" w:tplc="4F4226B8" w:tentative="1">
      <w:start w:val="1"/>
      <w:numFmt w:val="bullet"/>
      <w:lvlText w:val="•"/>
      <w:lvlJc w:val="left"/>
      <w:pPr>
        <w:tabs>
          <w:tab w:val="num" w:pos="5760"/>
        </w:tabs>
        <w:ind w:left="5760" w:hanging="360"/>
      </w:pPr>
      <w:rPr>
        <w:rFonts w:ascii="Arial" w:hAnsi="Arial" w:hint="default"/>
      </w:rPr>
    </w:lvl>
    <w:lvl w:ilvl="8" w:tplc="C5E0CA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9D21D5"/>
    <w:multiLevelType w:val="hybridMultilevel"/>
    <w:tmpl w:val="0540D0FE"/>
    <w:lvl w:ilvl="0" w:tplc="548A8970">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07037B"/>
    <w:multiLevelType w:val="hybridMultilevel"/>
    <w:tmpl w:val="68CA694C"/>
    <w:lvl w:ilvl="0" w:tplc="07CEBEB6">
      <w:start w:val="1"/>
      <w:numFmt w:val="bullet"/>
      <w:lvlText w:val=""/>
      <w:lvlPicBulletId w:val="0"/>
      <w:lvlJc w:val="left"/>
      <w:pPr>
        <w:tabs>
          <w:tab w:val="num" w:pos="720"/>
        </w:tabs>
        <w:ind w:left="720" w:hanging="360"/>
      </w:pPr>
      <w:rPr>
        <w:rFonts w:ascii="Symbol" w:hAnsi="Symbol" w:hint="default"/>
      </w:rPr>
    </w:lvl>
    <w:lvl w:ilvl="1" w:tplc="EC564ABA" w:tentative="1">
      <w:start w:val="1"/>
      <w:numFmt w:val="bullet"/>
      <w:lvlText w:val=""/>
      <w:lvlJc w:val="left"/>
      <w:pPr>
        <w:tabs>
          <w:tab w:val="num" w:pos="1440"/>
        </w:tabs>
        <w:ind w:left="1440" w:hanging="360"/>
      </w:pPr>
      <w:rPr>
        <w:rFonts w:ascii="Symbol" w:hAnsi="Symbol" w:hint="default"/>
      </w:rPr>
    </w:lvl>
    <w:lvl w:ilvl="2" w:tplc="16948EFE" w:tentative="1">
      <w:start w:val="1"/>
      <w:numFmt w:val="bullet"/>
      <w:lvlText w:val=""/>
      <w:lvlJc w:val="left"/>
      <w:pPr>
        <w:tabs>
          <w:tab w:val="num" w:pos="2160"/>
        </w:tabs>
        <w:ind w:left="2160" w:hanging="360"/>
      </w:pPr>
      <w:rPr>
        <w:rFonts w:ascii="Symbol" w:hAnsi="Symbol" w:hint="default"/>
      </w:rPr>
    </w:lvl>
    <w:lvl w:ilvl="3" w:tplc="1A884254" w:tentative="1">
      <w:start w:val="1"/>
      <w:numFmt w:val="bullet"/>
      <w:lvlText w:val=""/>
      <w:lvlJc w:val="left"/>
      <w:pPr>
        <w:tabs>
          <w:tab w:val="num" w:pos="2880"/>
        </w:tabs>
        <w:ind w:left="2880" w:hanging="360"/>
      </w:pPr>
      <w:rPr>
        <w:rFonts w:ascii="Symbol" w:hAnsi="Symbol" w:hint="default"/>
      </w:rPr>
    </w:lvl>
    <w:lvl w:ilvl="4" w:tplc="DED8AFDA" w:tentative="1">
      <w:start w:val="1"/>
      <w:numFmt w:val="bullet"/>
      <w:lvlText w:val=""/>
      <w:lvlJc w:val="left"/>
      <w:pPr>
        <w:tabs>
          <w:tab w:val="num" w:pos="3600"/>
        </w:tabs>
        <w:ind w:left="3600" w:hanging="360"/>
      </w:pPr>
      <w:rPr>
        <w:rFonts w:ascii="Symbol" w:hAnsi="Symbol" w:hint="default"/>
      </w:rPr>
    </w:lvl>
    <w:lvl w:ilvl="5" w:tplc="E0B28864" w:tentative="1">
      <w:start w:val="1"/>
      <w:numFmt w:val="bullet"/>
      <w:lvlText w:val=""/>
      <w:lvlJc w:val="left"/>
      <w:pPr>
        <w:tabs>
          <w:tab w:val="num" w:pos="4320"/>
        </w:tabs>
        <w:ind w:left="4320" w:hanging="360"/>
      </w:pPr>
      <w:rPr>
        <w:rFonts w:ascii="Symbol" w:hAnsi="Symbol" w:hint="default"/>
      </w:rPr>
    </w:lvl>
    <w:lvl w:ilvl="6" w:tplc="02E2E694" w:tentative="1">
      <w:start w:val="1"/>
      <w:numFmt w:val="bullet"/>
      <w:lvlText w:val=""/>
      <w:lvlJc w:val="left"/>
      <w:pPr>
        <w:tabs>
          <w:tab w:val="num" w:pos="5040"/>
        </w:tabs>
        <w:ind w:left="5040" w:hanging="360"/>
      </w:pPr>
      <w:rPr>
        <w:rFonts w:ascii="Symbol" w:hAnsi="Symbol" w:hint="default"/>
      </w:rPr>
    </w:lvl>
    <w:lvl w:ilvl="7" w:tplc="78A862B8" w:tentative="1">
      <w:start w:val="1"/>
      <w:numFmt w:val="bullet"/>
      <w:lvlText w:val=""/>
      <w:lvlJc w:val="left"/>
      <w:pPr>
        <w:tabs>
          <w:tab w:val="num" w:pos="5760"/>
        </w:tabs>
        <w:ind w:left="5760" w:hanging="360"/>
      </w:pPr>
      <w:rPr>
        <w:rFonts w:ascii="Symbol" w:hAnsi="Symbol" w:hint="default"/>
      </w:rPr>
    </w:lvl>
    <w:lvl w:ilvl="8" w:tplc="9AF649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A533755"/>
    <w:multiLevelType w:val="hybridMultilevel"/>
    <w:tmpl w:val="12022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6511834">
    <w:abstractNumId w:val="5"/>
  </w:num>
  <w:num w:numId="2" w16cid:durableId="1207911733">
    <w:abstractNumId w:val="6"/>
  </w:num>
  <w:num w:numId="3" w16cid:durableId="1538853009">
    <w:abstractNumId w:val="2"/>
  </w:num>
  <w:num w:numId="4" w16cid:durableId="246886476">
    <w:abstractNumId w:val="0"/>
  </w:num>
  <w:num w:numId="5" w16cid:durableId="366104647">
    <w:abstractNumId w:val="1"/>
  </w:num>
  <w:num w:numId="6" w16cid:durableId="288437501">
    <w:abstractNumId w:val="3"/>
  </w:num>
  <w:num w:numId="7" w16cid:durableId="1019967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F2"/>
    <w:rsid w:val="00000EBE"/>
    <w:rsid w:val="00002306"/>
    <w:rsid w:val="0001169B"/>
    <w:rsid w:val="0001613E"/>
    <w:rsid w:val="00020FE3"/>
    <w:rsid w:val="000330BE"/>
    <w:rsid w:val="00037595"/>
    <w:rsid w:val="00043C42"/>
    <w:rsid w:val="00055CE0"/>
    <w:rsid w:val="000573C1"/>
    <w:rsid w:val="00063CD1"/>
    <w:rsid w:val="0006620F"/>
    <w:rsid w:val="000A0B9E"/>
    <w:rsid w:val="000A0EEB"/>
    <w:rsid w:val="000B3084"/>
    <w:rsid w:val="000C7D05"/>
    <w:rsid w:val="000D2224"/>
    <w:rsid w:val="000F1B20"/>
    <w:rsid w:val="001042AB"/>
    <w:rsid w:val="00116823"/>
    <w:rsid w:val="001174CD"/>
    <w:rsid w:val="00120160"/>
    <w:rsid w:val="0012051F"/>
    <w:rsid w:val="00136393"/>
    <w:rsid w:val="00145E0D"/>
    <w:rsid w:val="00147C33"/>
    <w:rsid w:val="00155122"/>
    <w:rsid w:val="00161CB7"/>
    <w:rsid w:val="001633C6"/>
    <w:rsid w:val="0017302B"/>
    <w:rsid w:val="00177C9D"/>
    <w:rsid w:val="001B6A5B"/>
    <w:rsid w:val="001C2342"/>
    <w:rsid w:val="001D09E4"/>
    <w:rsid w:val="001D7258"/>
    <w:rsid w:val="001F5E5B"/>
    <w:rsid w:val="001F6A4A"/>
    <w:rsid w:val="00201940"/>
    <w:rsid w:val="002114C6"/>
    <w:rsid w:val="00212BE9"/>
    <w:rsid w:val="00214D6D"/>
    <w:rsid w:val="002213DB"/>
    <w:rsid w:val="00237623"/>
    <w:rsid w:val="00247D68"/>
    <w:rsid w:val="002544EE"/>
    <w:rsid w:val="00260EF1"/>
    <w:rsid w:val="00284B74"/>
    <w:rsid w:val="002A0D2D"/>
    <w:rsid w:val="002A1156"/>
    <w:rsid w:val="002A35CF"/>
    <w:rsid w:val="002A73E7"/>
    <w:rsid w:val="002B156F"/>
    <w:rsid w:val="002B43A3"/>
    <w:rsid w:val="002C15E8"/>
    <w:rsid w:val="002C76B7"/>
    <w:rsid w:val="002D00EA"/>
    <w:rsid w:val="002D00FB"/>
    <w:rsid w:val="002E0253"/>
    <w:rsid w:val="003041A4"/>
    <w:rsid w:val="00304464"/>
    <w:rsid w:val="00311814"/>
    <w:rsid w:val="00326E17"/>
    <w:rsid w:val="0032760C"/>
    <w:rsid w:val="00336245"/>
    <w:rsid w:val="003613E7"/>
    <w:rsid w:val="00371A2F"/>
    <w:rsid w:val="00383D41"/>
    <w:rsid w:val="003952C3"/>
    <w:rsid w:val="003967E8"/>
    <w:rsid w:val="003A1ACF"/>
    <w:rsid w:val="003B1426"/>
    <w:rsid w:val="003B2220"/>
    <w:rsid w:val="003C2DF2"/>
    <w:rsid w:val="003C7412"/>
    <w:rsid w:val="003D4130"/>
    <w:rsid w:val="00400CCB"/>
    <w:rsid w:val="004065B9"/>
    <w:rsid w:val="00413A4E"/>
    <w:rsid w:val="004160F3"/>
    <w:rsid w:val="00422A2C"/>
    <w:rsid w:val="0042340B"/>
    <w:rsid w:val="004249F9"/>
    <w:rsid w:val="00426F21"/>
    <w:rsid w:val="004308A8"/>
    <w:rsid w:val="004602C4"/>
    <w:rsid w:val="00461FED"/>
    <w:rsid w:val="00481733"/>
    <w:rsid w:val="00487B73"/>
    <w:rsid w:val="004A1482"/>
    <w:rsid w:val="004C5425"/>
    <w:rsid w:val="004C6459"/>
    <w:rsid w:val="004C6E1B"/>
    <w:rsid w:val="00500B0D"/>
    <w:rsid w:val="0051302F"/>
    <w:rsid w:val="00531DC4"/>
    <w:rsid w:val="00543036"/>
    <w:rsid w:val="0055459A"/>
    <w:rsid w:val="00563BF6"/>
    <w:rsid w:val="0056621B"/>
    <w:rsid w:val="00583ECE"/>
    <w:rsid w:val="005948F4"/>
    <w:rsid w:val="005B3175"/>
    <w:rsid w:val="005C219D"/>
    <w:rsid w:val="005C7354"/>
    <w:rsid w:val="005D7918"/>
    <w:rsid w:val="005F09C5"/>
    <w:rsid w:val="006053A1"/>
    <w:rsid w:val="006730F4"/>
    <w:rsid w:val="00683AFC"/>
    <w:rsid w:val="00686D90"/>
    <w:rsid w:val="0068738D"/>
    <w:rsid w:val="00697AA7"/>
    <w:rsid w:val="006A2D7C"/>
    <w:rsid w:val="006A7510"/>
    <w:rsid w:val="006B001D"/>
    <w:rsid w:val="006D6A19"/>
    <w:rsid w:val="006E101C"/>
    <w:rsid w:val="006E1ADF"/>
    <w:rsid w:val="006E241E"/>
    <w:rsid w:val="006E4F60"/>
    <w:rsid w:val="006F60B8"/>
    <w:rsid w:val="006F7D4C"/>
    <w:rsid w:val="007011D2"/>
    <w:rsid w:val="00724944"/>
    <w:rsid w:val="00742287"/>
    <w:rsid w:val="00752921"/>
    <w:rsid w:val="00752A0B"/>
    <w:rsid w:val="00762E6F"/>
    <w:rsid w:val="00766871"/>
    <w:rsid w:val="007750B8"/>
    <w:rsid w:val="00782E41"/>
    <w:rsid w:val="007A6EDE"/>
    <w:rsid w:val="007B3AFB"/>
    <w:rsid w:val="007E3F69"/>
    <w:rsid w:val="007E6020"/>
    <w:rsid w:val="007E6B35"/>
    <w:rsid w:val="007F155B"/>
    <w:rsid w:val="00800EC8"/>
    <w:rsid w:val="00804AF0"/>
    <w:rsid w:val="00870A6E"/>
    <w:rsid w:val="00871CA7"/>
    <w:rsid w:val="008732F6"/>
    <w:rsid w:val="00886294"/>
    <w:rsid w:val="0088782F"/>
    <w:rsid w:val="008C2DF0"/>
    <w:rsid w:val="008C4C01"/>
    <w:rsid w:val="008D1160"/>
    <w:rsid w:val="008D2729"/>
    <w:rsid w:val="008F7BB7"/>
    <w:rsid w:val="009004D4"/>
    <w:rsid w:val="00900AAA"/>
    <w:rsid w:val="00901490"/>
    <w:rsid w:val="00914D75"/>
    <w:rsid w:val="00930DB1"/>
    <w:rsid w:val="00944E7D"/>
    <w:rsid w:val="0097415E"/>
    <w:rsid w:val="009757FD"/>
    <w:rsid w:val="009805DD"/>
    <w:rsid w:val="00991878"/>
    <w:rsid w:val="0099277C"/>
    <w:rsid w:val="009A44BA"/>
    <w:rsid w:val="009C33CA"/>
    <w:rsid w:val="009E5D76"/>
    <w:rsid w:val="009F029A"/>
    <w:rsid w:val="009F53F5"/>
    <w:rsid w:val="009F738D"/>
    <w:rsid w:val="00A018C8"/>
    <w:rsid w:val="00A06B34"/>
    <w:rsid w:val="00A10E01"/>
    <w:rsid w:val="00A200AA"/>
    <w:rsid w:val="00A460A1"/>
    <w:rsid w:val="00A543A5"/>
    <w:rsid w:val="00A8299A"/>
    <w:rsid w:val="00A87E01"/>
    <w:rsid w:val="00A93A33"/>
    <w:rsid w:val="00A9560A"/>
    <w:rsid w:val="00A95D53"/>
    <w:rsid w:val="00AA7C5B"/>
    <w:rsid w:val="00AB2D24"/>
    <w:rsid w:val="00AD3EE7"/>
    <w:rsid w:val="00AD6436"/>
    <w:rsid w:val="00B060E1"/>
    <w:rsid w:val="00B138C5"/>
    <w:rsid w:val="00B202A9"/>
    <w:rsid w:val="00B32F85"/>
    <w:rsid w:val="00B33DE8"/>
    <w:rsid w:val="00B40A05"/>
    <w:rsid w:val="00B47E18"/>
    <w:rsid w:val="00B5226E"/>
    <w:rsid w:val="00B649F7"/>
    <w:rsid w:val="00B77C42"/>
    <w:rsid w:val="00B915A9"/>
    <w:rsid w:val="00BA666F"/>
    <w:rsid w:val="00BB141B"/>
    <w:rsid w:val="00BD7BAA"/>
    <w:rsid w:val="00BE2E71"/>
    <w:rsid w:val="00BF060F"/>
    <w:rsid w:val="00C02217"/>
    <w:rsid w:val="00C0396A"/>
    <w:rsid w:val="00C05981"/>
    <w:rsid w:val="00C1449A"/>
    <w:rsid w:val="00C4192E"/>
    <w:rsid w:val="00C47924"/>
    <w:rsid w:val="00C551E1"/>
    <w:rsid w:val="00C66456"/>
    <w:rsid w:val="00C71BA2"/>
    <w:rsid w:val="00C77E7E"/>
    <w:rsid w:val="00C878C4"/>
    <w:rsid w:val="00C92F0D"/>
    <w:rsid w:val="00CA2BCD"/>
    <w:rsid w:val="00CA3206"/>
    <w:rsid w:val="00CC078D"/>
    <w:rsid w:val="00CD723A"/>
    <w:rsid w:val="00CE5A93"/>
    <w:rsid w:val="00CE79DF"/>
    <w:rsid w:val="00CF4A09"/>
    <w:rsid w:val="00CF5178"/>
    <w:rsid w:val="00CF7F38"/>
    <w:rsid w:val="00D061B6"/>
    <w:rsid w:val="00D1028F"/>
    <w:rsid w:val="00D1060B"/>
    <w:rsid w:val="00D15D59"/>
    <w:rsid w:val="00D31F73"/>
    <w:rsid w:val="00D44440"/>
    <w:rsid w:val="00D54116"/>
    <w:rsid w:val="00D8738D"/>
    <w:rsid w:val="00D93D02"/>
    <w:rsid w:val="00DD1FE3"/>
    <w:rsid w:val="00DD4076"/>
    <w:rsid w:val="00DE4BF9"/>
    <w:rsid w:val="00DE55DF"/>
    <w:rsid w:val="00DF068D"/>
    <w:rsid w:val="00DF1F0F"/>
    <w:rsid w:val="00DF3FA5"/>
    <w:rsid w:val="00E048E8"/>
    <w:rsid w:val="00E13B22"/>
    <w:rsid w:val="00E17B74"/>
    <w:rsid w:val="00E37B92"/>
    <w:rsid w:val="00E37D2C"/>
    <w:rsid w:val="00E47695"/>
    <w:rsid w:val="00E47DCA"/>
    <w:rsid w:val="00E61696"/>
    <w:rsid w:val="00E75283"/>
    <w:rsid w:val="00E81C1E"/>
    <w:rsid w:val="00E839E8"/>
    <w:rsid w:val="00E8628E"/>
    <w:rsid w:val="00E906FD"/>
    <w:rsid w:val="00EA7194"/>
    <w:rsid w:val="00EB2444"/>
    <w:rsid w:val="00EB5ABB"/>
    <w:rsid w:val="00EC39CB"/>
    <w:rsid w:val="00ED5043"/>
    <w:rsid w:val="00EE3E2E"/>
    <w:rsid w:val="00EE6566"/>
    <w:rsid w:val="00F0035F"/>
    <w:rsid w:val="00F00EF6"/>
    <w:rsid w:val="00F16358"/>
    <w:rsid w:val="00F25D43"/>
    <w:rsid w:val="00F416EF"/>
    <w:rsid w:val="00F4334C"/>
    <w:rsid w:val="00F5556A"/>
    <w:rsid w:val="00F57C8C"/>
    <w:rsid w:val="00F736A8"/>
    <w:rsid w:val="00F74E49"/>
    <w:rsid w:val="00F853D2"/>
    <w:rsid w:val="00F87A77"/>
    <w:rsid w:val="00F904C5"/>
    <w:rsid w:val="00FA14B4"/>
    <w:rsid w:val="00FA38A2"/>
    <w:rsid w:val="00FB05F9"/>
    <w:rsid w:val="00FB6AA8"/>
    <w:rsid w:val="00FB7CE5"/>
    <w:rsid w:val="00FB7DC7"/>
    <w:rsid w:val="00FC38D5"/>
    <w:rsid w:val="00FC6033"/>
    <w:rsid w:val="00FD14B8"/>
    <w:rsid w:val="00FD20DB"/>
    <w:rsid w:val="00FE38BB"/>
    <w:rsid w:val="00FE450C"/>
    <w:rsid w:val="00FE5A7F"/>
    <w:rsid w:val="00FF574B"/>
    <w:rsid w:val="00FF7F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466FDF6"/>
  <w15:docId w15:val="{1BF01860-DBCD-4CA7-A09F-1552B43E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paragraph" w:styleId="Heading2">
    <w:name w:val="heading 2"/>
    <w:basedOn w:val="Normal"/>
    <w:next w:val="Normal"/>
    <w:link w:val="Heading2Char"/>
    <w:uiPriority w:val="9"/>
    <w:semiHidden/>
    <w:unhideWhenUsed/>
    <w:qFormat/>
    <w:rsid w:val="009F029A"/>
    <w:pPr>
      <w:keepNext/>
      <w:keepLines/>
      <w:spacing w:before="40"/>
      <w:outlineLvl w:val="1"/>
    </w:pPr>
    <w:rPr>
      <w:rFonts w:asciiTheme="majorHAnsi" w:eastAsiaTheme="majorEastAsia" w:hAnsiTheme="majorHAnsi" w:cstheme="majorBidi"/>
      <w:color w:val="007D5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C4C01"/>
    <w:rPr>
      <w:rFonts w:asciiTheme="majorHAnsi" w:eastAsiaTheme="majorEastAsia" w:hAnsiTheme="majorHAnsi" w:cstheme="majorBidi"/>
      <w:b/>
      <w:caps/>
      <w:spacing w:val="5"/>
      <w:kern w:val="28"/>
      <w:sz w:val="64"/>
      <w:szCs w:val="52"/>
    </w:rPr>
  </w:style>
  <w:style w:type="paragraph" w:styleId="ListParagraph">
    <w:name w:val="List Paragraph"/>
    <w:basedOn w:val="Normal"/>
    <w:uiPriority w:val="34"/>
    <w:qFormat/>
    <w:rsid w:val="00500B0D"/>
    <w:pPr>
      <w:ind w:left="720"/>
      <w:contextualSpacing/>
    </w:pPr>
  </w:style>
  <w:style w:type="paragraph" w:styleId="NormalWeb">
    <w:name w:val="Normal (Web)"/>
    <w:basedOn w:val="Normal"/>
    <w:uiPriority w:val="99"/>
    <w:unhideWhenUsed/>
    <w:rsid w:val="00500B0D"/>
    <w:pPr>
      <w:spacing w:after="210" w:line="210" w:lineRule="atLeast"/>
    </w:pPr>
    <w:rPr>
      <w:rFonts w:ascii="Times New Roman" w:eastAsia="Times New Roman" w:hAnsi="Times New Roman"/>
      <w:sz w:val="17"/>
      <w:szCs w:val="17"/>
      <w:lang w:eastAsia="fr-FR"/>
    </w:rPr>
  </w:style>
  <w:style w:type="character" w:styleId="Strong">
    <w:name w:val="Strong"/>
    <w:basedOn w:val="DefaultParagraphFont"/>
    <w:uiPriority w:val="22"/>
    <w:qFormat/>
    <w:rsid w:val="00500B0D"/>
    <w:rPr>
      <w:b/>
      <w:bCs/>
    </w:rPr>
  </w:style>
  <w:style w:type="paragraph" w:styleId="BodyText">
    <w:name w:val="Body Text"/>
    <w:basedOn w:val="Normal"/>
    <w:link w:val="BodyTextChar"/>
    <w:uiPriority w:val="1"/>
    <w:unhideWhenUsed/>
    <w:qFormat/>
    <w:rsid w:val="003C7412"/>
    <w:pPr>
      <w:widowControl w:val="0"/>
      <w:spacing w:line="240" w:lineRule="auto"/>
      <w:ind w:left="1016"/>
      <w:jc w:val="left"/>
    </w:pPr>
    <w:rPr>
      <w:rFonts w:ascii="Arial" w:eastAsia="Arial" w:hAnsi="Arial"/>
      <w:szCs w:val="24"/>
      <w:lang w:val="en-US"/>
    </w:rPr>
  </w:style>
  <w:style w:type="character" w:customStyle="1" w:styleId="BodyTextChar">
    <w:name w:val="Body Text Char"/>
    <w:basedOn w:val="DefaultParagraphFont"/>
    <w:link w:val="BodyText"/>
    <w:uiPriority w:val="1"/>
    <w:rsid w:val="003C7412"/>
    <w:rPr>
      <w:rFonts w:ascii="Arial" w:eastAsia="Arial" w:hAnsi="Arial"/>
      <w:sz w:val="24"/>
      <w:szCs w:val="24"/>
      <w:lang w:val="en-US"/>
    </w:rPr>
  </w:style>
  <w:style w:type="paragraph" w:styleId="FootnoteText">
    <w:name w:val="footnote text"/>
    <w:basedOn w:val="Normal"/>
    <w:link w:val="FootnoteTextChar"/>
    <w:uiPriority w:val="99"/>
    <w:semiHidden/>
    <w:unhideWhenUsed/>
    <w:rsid w:val="002A35CF"/>
    <w:pPr>
      <w:spacing w:line="240" w:lineRule="auto"/>
      <w:jc w:val="left"/>
    </w:pPr>
    <w:rPr>
      <w:rFonts w:cstheme="minorBidi"/>
      <w:sz w:val="20"/>
    </w:rPr>
  </w:style>
  <w:style w:type="character" w:customStyle="1" w:styleId="FootnoteTextChar">
    <w:name w:val="Footnote Text Char"/>
    <w:basedOn w:val="DefaultParagraphFont"/>
    <w:link w:val="FootnoteText"/>
    <w:uiPriority w:val="99"/>
    <w:semiHidden/>
    <w:rsid w:val="002A35CF"/>
    <w:rPr>
      <w:rFonts w:asciiTheme="minorHAnsi" w:hAnsiTheme="minorHAnsi" w:cstheme="minorBidi"/>
    </w:rPr>
  </w:style>
  <w:style w:type="character" w:styleId="FootnoteReference">
    <w:name w:val="footnote reference"/>
    <w:basedOn w:val="DefaultParagraphFont"/>
    <w:uiPriority w:val="99"/>
    <w:semiHidden/>
    <w:unhideWhenUsed/>
    <w:rsid w:val="002A35CF"/>
    <w:rPr>
      <w:vertAlign w:val="superscript"/>
    </w:rPr>
  </w:style>
  <w:style w:type="paragraph" w:customStyle="1" w:styleId="s5">
    <w:name w:val="s5"/>
    <w:basedOn w:val="Normal"/>
    <w:rsid w:val="00CF5178"/>
    <w:pPr>
      <w:spacing w:before="100" w:beforeAutospacing="1" w:after="100" w:afterAutospacing="1" w:line="240" w:lineRule="auto"/>
      <w:jc w:val="left"/>
    </w:pPr>
    <w:rPr>
      <w:rFonts w:ascii="Times New Roman" w:eastAsia="Times New Roman" w:hAnsi="Times New Roman"/>
      <w:szCs w:val="24"/>
      <w:lang w:eastAsia="fr-FR"/>
    </w:rPr>
  </w:style>
  <w:style w:type="character" w:styleId="PlaceholderText">
    <w:name w:val="Placeholder Text"/>
    <w:basedOn w:val="DefaultParagraphFont"/>
    <w:uiPriority w:val="99"/>
    <w:semiHidden/>
    <w:rsid w:val="00CF5178"/>
    <w:rPr>
      <w:color w:val="808080"/>
    </w:rPr>
  </w:style>
  <w:style w:type="paragraph" w:styleId="Caption">
    <w:name w:val="caption"/>
    <w:basedOn w:val="Normal"/>
    <w:next w:val="Normal"/>
    <w:uiPriority w:val="35"/>
    <w:unhideWhenUsed/>
    <w:qFormat/>
    <w:rsid w:val="003B1426"/>
    <w:pPr>
      <w:spacing w:after="200" w:line="240" w:lineRule="auto"/>
    </w:pPr>
    <w:rPr>
      <w:i/>
      <w:iCs/>
      <w:color w:val="939598" w:themeColor="text2"/>
      <w:sz w:val="18"/>
      <w:szCs w:val="18"/>
    </w:rPr>
  </w:style>
  <w:style w:type="paragraph" w:customStyle="1" w:styleId="1Gutachten">
    <w:name w:val="1 Gutachten"/>
    <w:rsid w:val="00D1060B"/>
    <w:pPr>
      <w:spacing w:after="340" w:line="340" w:lineRule="atLeast"/>
      <w:jc w:val="both"/>
    </w:pPr>
    <w:rPr>
      <w:rFonts w:ascii="Arial" w:eastAsia="Times New Roman" w:hAnsi="Arial"/>
      <w:sz w:val="22"/>
      <w:lang w:val="de-DE" w:eastAsia="fr-FR"/>
    </w:rPr>
  </w:style>
  <w:style w:type="paragraph" w:customStyle="1" w:styleId="xmsonormal">
    <w:name w:val="x_msonormal"/>
    <w:basedOn w:val="Normal"/>
    <w:rsid w:val="00304464"/>
    <w:pPr>
      <w:spacing w:before="100" w:beforeAutospacing="1" w:after="100" w:afterAutospacing="1" w:line="240" w:lineRule="auto"/>
      <w:jc w:val="left"/>
    </w:pPr>
    <w:rPr>
      <w:rFonts w:ascii="Times New Roman" w:eastAsia="Times New Roman" w:hAnsi="Times New Roman"/>
      <w:szCs w:val="24"/>
      <w:lang w:eastAsia="fr-FR"/>
    </w:rPr>
  </w:style>
  <w:style w:type="character" w:customStyle="1" w:styleId="ident11121827">
    <w:name w:val="ident_1112_1827"/>
    <w:basedOn w:val="DefaultParagraphFont"/>
    <w:rsid w:val="00304464"/>
  </w:style>
  <w:style w:type="character" w:customStyle="1" w:styleId="Heading2Char">
    <w:name w:val="Heading 2 Char"/>
    <w:basedOn w:val="DefaultParagraphFont"/>
    <w:link w:val="Heading2"/>
    <w:uiPriority w:val="9"/>
    <w:semiHidden/>
    <w:rsid w:val="009F029A"/>
    <w:rPr>
      <w:rFonts w:asciiTheme="majorHAnsi" w:eastAsiaTheme="majorEastAsia" w:hAnsiTheme="majorHAnsi" w:cstheme="majorBidi"/>
      <w:color w:val="007D50" w:themeColor="accent1" w:themeShade="BF"/>
      <w:sz w:val="26"/>
      <w:szCs w:val="26"/>
    </w:rPr>
  </w:style>
  <w:style w:type="paragraph" w:customStyle="1" w:styleId="Default">
    <w:name w:val="Default"/>
    <w:rsid w:val="00752A0B"/>
    <w:pPr>
      <w:autoSpaceDE w:val="0"/>
      <w:autoSpaceDN w:val="0"/>
      <w:adjustRightInd w:val="0"/>
    </w:pPr>
    <w:rPr>
      <w:rFonts w:ascii="Arial" w:hAnsi="Arial" w:cs="Arial"/>
      <w:color w:val="000000"/>
      <w:sz w:val="24"/>
      <w:szCs w:val="24"/>
      <w:lang w:val="en-GB"/>
    </w:rPr>
  </w:style>
  <w:style w:type="paragraph" w:styleId="NoSpacing">
    <w:name w:val="No Spacing"/>
    <w:uiPriority w:val="1"/>
    <w:qFormat/>
    <w:rsid w:val="00CE79DF"/>
    <w:rPr>
      <w:rFonts w:ascii="Helvetica 45 Light" w:eastAsia="Times New Roman" w:hAnsi="Helvetica 45 Light"/>
      <w:sz w:val="22"/>
      <w:szCs w:val="24"/>
      <w:lang w:val="en-GB"/>
    </w:rPr>
  </w:style>
  <w:style w:type="paragraph" w:styleId="PlainText">
    <w:name w:val="Plain Text"/>
    <w:basedOn w:val="Normal"/>
    <w:link w:val="PlainTextChar"/>
    <w:uiPriority w:val="99"/>
    <w:semiHidden/>
    <w:unhideWhenUsed/>
    <w:rsid w:val="00C71BA2"/>
    <w:pPr>
      <w:spacing w:line="240" w:lineRule="auto"/>
      <w:jc w:val="left"/>
    </w:pPr>
    <w:rPr>
      <w:rFonts w:ascii="Calibri" w:eastAsia="Times New Roman" w:hAnsi="Calibri" w:cstheme="minorBidi"/>
      <w:kern w:val="2"/>
      <w:sz w:val="22"/>
      <w:szCs w:val="21"/>
      <w:lang w:eastAsia="ja-JP"/>
      <w14:ligatures w14:val="standardContextual"/>
    </w:rPr>
  </w:style>
  <w:style w:type="character" w:customStyle="1" w:styleId="PlainTextChar">
    <w:name w:val="Plain Text Char"/>
    <w:basedOn w:val="DefaultParagraphFont"/>
    <w:link w:val="PlainText"/>
    <w:uiPriority w:val="99"/>
    <w:semiHidden/>
    <w:rsid w:val="00C71BA2"/>
    <w:rPr>
      <w:rFonts w:ascii="Calibri" w:eastAsia="Times New Roman" w:hAnsi="Calibri" w:cstheme="minorBidi"/>
      <w:kern w:val="2"/>
      <w:sz w:val="22"/>
      <w:szCs w:val="21"/>
      <w:lang w:eastAsia="ja-JP"/>
      <w14:ligatures w14:val="standardContextual"/>
    </w:rPr>
  </w:style>
  <w:style w:type="paragraph" w:styleId="Revision">
    <w:name w:val="Revision"/>
    <w:hidden/>
    <w:uiPriority w:val="99"/>
    <w:semiHidden/>
    <w:rsid w:val="00CA3206"/>
    <w:rPr>
      <w:rFonts w:asciiTheme="minorHAnsi" w:hAnsiTheme="minorHAnsi"/>
      <w:sz w:val="24"/>
    </w:rPr>
  </w:style>
  <w:style w:type="character" w:styleId="CommentReference">
    <w:name w:val="annotation reference"/>
    <w:basedOn w:val="DefaultParagraphFont"/>
    <w:uiPriority w:val="99"/>
    <w:semiHidden/>
    <w:unhideWhenUsed/>
    <w:rsid w:val="00A460A1"/>
    <w:rPr>
      <w:sz w:val="16"/>
      <w:szCs w:val="16"/>
    </w:rPr>
  </w:style>
  <w:style w:type="paragraph" w:styleId="CommentText">
    <w:name w:val="annotation text"/>
    <w:basedOn w:val="Normal"/>
    <w:link w:val="CommentTextChar"/>
    <w:uiPriority w:val="99"/>
    <w:unhideWhenUsed/>
    <w:rsid w:val="00A460A1"/>
    <w:pPr>
      <w:spacing w:line="240" w:lineRule="auto"/>
    </w:pPr>
    <w:rPr>
      <w:sz w:val="20"/>
    </w:rPr>
  </w:style>
  <w:style w:type="character" w:customStyle="1" w:styleId="CommentTextChar">
    <w:name w:val="Comment Text Char"/>
    <w:basedOn w:val="DefaultParagraphFont"/>
    <w:link w:val="CommentText"/>
    <w:uiPriority w:val="99"/>
    <w:rsid w:val="00A460A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460A1"/>
    <w:rPr>
      <w:b/>
      <w:bCs/>
    </w:rPr>
  </w:style>
  <w:style w:type="character" w:customStyle="1" w:styleId="CommentSubjectChar">
    <w:name w:val="Comment Subject Char"/>
    <w:basedOn w:val="CommentTextChar"/>
    <w:link w:val="CommentSubject"/>
    <w:uiPriority w:val="99"/>
    <w:semiHidden/>
    <w:rsid w:val="00A460A1"/>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1930">
      <w:bodyDiv w:val="1"/>
      <w:marLeft w:val="0"/>
      <w:marRight w:val="0"/>
      <w:marTop w:val="0"/>
      <w:marBottom w:val="0"/>
      <w:divBdr>
        <w:top w:val="none" w:sz="0" w:space="0" w:color="auto"/>
        <w:left w:val="none" w:sz="0" w:space="0" w:color="auto"/>
        <w:bottom w:val="none" w:sz="0" w:space="0" w:color="auto"/>
        <w:right w:val="none" w:sz="0" w:space="0" w:color="auto"/>
      </w:divBdr>
    </w:div>
    <w:div w:id="27148343">
      <w:bodyDiv w:val="1"/>
      <w:marLeft w:val="0"/>
      <w:marRight w:val="0"/>
      <w:marTop w:val="0"/>
      <w:marBottom w:val="0"/>
      <w:divBdr>
        <w:top w:val="none" w:sz="0" w:space="0" w:color="auto"/>
        <w:left w:val="none" w:sz="0" w:space="0" w:color="auto"/>
        <w:bottom w:val="none" w:sz="0" w:space="0" w:color="auto"/>
        <w:right w:val="none" w:sz="0" w:space="0" w:color="auto"/>
      </w:divBdr>
    </w:div>
    <w:div w:id="154222405">
      <w:bodyDiv w:val="1"/>
      <w:marLeft w:val="0"/>
      <w:marRight w:val="0"/>
      <w:marTop w:val="0"/>
      <w:marBottom w:val="0"/>
      <w:divBdr>
        <w:top w:val="none" w:sz="0" w:space="0" w:color="auto"/>
        <w:left w:val="none" w:sz="0" w:space="0" w:color="auto"/>
        <w:bottom w:val="none" w:sz="0" w:space="0" w:color="auto"/>
        <w:right w:val="none" w:sz="0" w:space="0" w:color="auto"/>
      </w:divBdr>
    </w:div>
    <w:div w:id="305670415">
      <w:bodyDiv w:val="1"/>
      <w:marLeft w:val="0"/>
      <w:marRight w:val="0"/>
      <w:marTop w:val="0"/>
      <w:marBottom w:val="0"/>
      <w:divBdr>
        <w:top w:val="none" w:sz="0" w:space="0" w:color="auto"/>
        <w:left w:val="none" w:sz="0" w:space="0" w:color="auto"/>
        <w:bottom w:val="none" w:sz="0" w:space="0" w:color="auto"/>
        <w:right w:val="none" w:sz="0" w:space="0" w:color="auto"/>
      </w:divBdr>
      <w:divsChild>
        <w:div w:id="1405882560">
          <w:marLeft w:val="0"/>
          <w:marRight w:val="0"/>
          <w:marTop w:val="0"/>
          <w:marBottom w:val="0"/>
          <w:divBdr>
            <w:top w:val="none" w:sz="0" w:space="0" w:color="auto"/>
            <w:left w:val="none" w:sz="0" w:space="0" w:color="auto"/>
            <w:bottom w:val="none" w:sz="0" w:space="0" w:color="auto"/>
            <w:right w:val="none" w:sz="0" w:space="0" w:color="auto"/>
          </w:divBdr>
        </w:div>
      </w:divsChild>
    </w:div>
    <w:div w:id="397290803">
      <w:bodyDiv w:val="1"/>
      <w:marLeft w:val="0"/>
      <w:marRight w:val="0"/>
      <w:marTop w:val="0"/>
      <w:marBottom w:val="0"/>
      <w:divBdr>
        <w:top w:val="none" w:sz="0" w:space="0" w:color="auto"/>
        <w:left w:val="none" w:sz="0" w:space="0" w:color="auto"/>
        <w:bottom w:val="none" w:sz="0" w:space="0" w:color="auto"/>
        <w:right w:val="none" w:sz="0" w:space="0" w:color="auto"/>
      </w:divBdr>
    </w:div>
    <w:div w:id="403993650">
      <w:bodyDiv w:val="1"/>
      <w:marLeft w:val="0"/>
      <w:marRight w:val="0"/>
      <w:marTop w:val="0"/>
      <w:marBottom w:val="0"/>
      <w:divBdr>
        <w:top w:val="none" w:sz="0" w:space="0" w:color="auto"/>
        <w:left w:val="none" w:sz="0" w:space="0" w:color="auto"/>
        <w:bottom w:val="none" w:sz="0" w:space="0" w:color="auto"/>
        <w:right w:val="none" w:sz="0" w:space="0" w:color="auto"/>
      </w:divBdr>
    </w:div>
    <w:div w:id="496845082">
      <w:bodyDiv w:val="1"/>
      <w:marLeft w:val="0"/>
      <w:marRight w:val="0"/>
      <w:marTop w:val="0"/>
      <w:marBottom w:val="0"/>
      <w:divBdr>
        <w:top w:val="none" w:sz="0" w:space="0" w:color="auto"/>
        <w:left w:val="none" w:sz="0" w:space="0" w:color="auto"/>
        <w:bottom w:val="none" w:sz="0" w:space="0" w:color="auto"/>
        <w:right w:val="none" w:sz="0" w:space="0" w:color="auto"/>
      </w:divBdr>
    </w:div>
    <w:div w:id="563375828">
      <w:bodyDiv w:val="1"/>
      <w:marLeft w:val="0"/>
      <w:marRight w:val="0"/>
      <w:marTop w:val="0"/>
      <w:marBottom w:val="0"/>
      <w:divBdr>
        <w:top w:val="none" w:sz="0" w:space="0" w:color="auto"/>
        <w:left w:val="none" w:sz="0" w:space="0" w:color="auto"/>
        <w:bottom w:val="none" w:sz="0" w:space="0" w:color="auto"/>
        <w:right w:val="none" w:sz="0" w:space="0" w:color="auto"/>
      </w:divBdr>
    </w:div>
    <w:div w:id="675960154">
      <w:bodyDiv w:val="1"/>
      <w:marLeft w:val="0"/>
      <w:marRight w:val="0"/>
      <w:marTop w:val="0"/>
      <w:marBottom w:val="0"/>
      <w:divBdr>
        <w:top w:val="none" w:sz="0" w:space="0" w:color="auto"/>
        <w:left w:val="none" w:sz="0" w:space="0" w:color="auto"/>
        <w:bottom w:val="none" w:sz="0" w:space="0" w:color="auto"/>
        <w:right w:val="none" w:sz="0" w:space="0" w:color="auto"/>
      </w:divBdr>
    </w:div>
    <w:div w:id="747654312">
      <w:bodyDiv w:val="1"/>
      <w:marLeft w:val="0"/>
      <w:marRight w:val="0"/>
      <w:marTop w:val="0"/>
      <w:marBottom w:val="0"/>
      <w:divBdr>
        <w:top w:val="none" w:sz="0" w:space="0" w:color="auto"/>
        <w:left w:val="none" w:sz="0" w:space="0" w:color="auto"/>
        <w:bottom w:val="none" w:sz="0" w:space="0" w:color="auto"/>
        <w:right w:val="none" w:sz="0" w:space="0" w:color="auto"/>
      </w:divBdr>
      <w:divsChild>
        <w:div w:id="1970042982">
          <w:marLeft w:val="288"/>
          <w:marRight w:val="0"/>
          <w:marTop w:val="0"/>
          <w:marBottom w:val="80"/>
          <w:divBdr>
            <w:top w:val="none" w:sz="0" w:space="0" w:color="auto"/>
            <w:left w:val="none" w:sz="0" w:space="0" w:color="auto"/>
            <w:bottom w:val="none" w:sz="0" w:space="0" w:color="auto"/>
            <w:right w:val="none" w:sz="0" w:space="0" w:color="auto"/>
          </w:divBdr>
        </w:div>
        <w:div w:id="644821352">
          <w:marLeft w:val="288"/>
          <w:marRight w:val="0"/>
          <w:marTop w:val="0"/>
          <w:marBottom w:val="80"/>
          <w:divBdr>
            <w:top w:val="none" w:sz="0" w:space="0" w:color="auto"/>
            <w:left w:val="none" w:sz="0" w:space="0" w:color="auto"/>
            <w:bottom w:val="none" w:sz="0" w:space="0" w:color="auto"/>
            <w:right w:val="none" w:sz="0" w:space="0" w:color="auto"/>
          </w:divBdr>
        </w:div>
        <w:div w:id="986320144">
          <w:marLeft w:val="288"/>
          <w:marRight w:val="0"/>
          <w:marTop w:val="0"/>
          <w:marBottom w:val="80"/>
          <w:divBdr>
            <w:top w:val="none" w:sz="0" w:space="0" w:color="auto"/>
            <w:left w:val="none" w:sz="0" w:space="0" w:color="auto"/>
            <w:bottom w:val="none" w:sz="0" w:space="0" w:color="auto"/>
            <w:right w:val="none" w:sz="0" w:space="0" w:color="auto"/>
          </w:divBdr>
        </w:div>
        <w:div w:id="1275097070">
          <w:marLeft w:val="288"/>
          <w:marRight w:val="0"/>
          <w:marTop w:val="0"/>
          <w:marBottom w:val="80"/>
          <w:divBdr>
            <w:top w:val="none" w:sz="0" w:space="0" w:color="auto"/>
            <w:left w:val="none" w:sz="0" w:space="0" w:color="auto"/>
            <w:bottom w:val="none" w:sz="0" w:space="0" w:color="auto"/>
            <w:right w:val="none" w:sz="0" w:space="0" w:color="auto"/>
          </w:divBdr>
        </w:div>
      </w:divsChild>
    </w:div>
    <w:div w:id="838229295">
      <w:bodyDiv w:val="1"/>
      <w:marLeft w:val="0"/>
      <w:marRight w:val="0"/>
      <w:marTop w:val="0"/>
      <w:marBottom w:val="0"/>
      <w:divBdr>
        <w:top w:val="none" w:sz="0" w:space="0" w:color="auto"/>
        <w:left w:val="none" w:sz="0" w:space="0" w:color="auto"/>
        <w:bottom w:val="none" w:sz="0" w:space="0" w:color="auto"/>
        <w:right w:val="none" w:sz="0" w:space="0" w:color="auto"/>
      </w:divBdr>
      <w:divsChild>
        <w:div w:id="1207839842">
          <w:marLeft w:val="0"/>
          <w:marRight w:val="0"/>
          <w:marTop w:val="0"/>
          <w:marBottom w:val="0"/>
          <w:divBdr>
            <w:top w:val="none" w:sz="0" w:space="0" w:color="auto"/>
            <w:left w:val="none" w:sz="0" w:space="0" w:color="auto"/>
            <w:bottom w:val="none" w:sz="0" w:space="0" w:color="auto"/>
            <w:right w:val="none" w:sz="0" w:space="0" w:color="auto"/>
          </w:divBdr>
          <w:divsChild>
            <w:div w:id="19436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7389">
      <w:bodyDiv w:val="1"/>
      <w:marLeft w:val="0"/>
      <w:marRight w:val="0"/>
      <w:marTop w:val="0"/>
      <w:marBottom w:val="0"/>
      <w:divBdr>
        <w:top w:val="none" w:sz="0" w:space="0" w:color="auto"/>
        <w:left w:val="none" w:sz="0" w:space="0" w:color="auto"/>
        <w:bottom w:val="none" w:sz="0" w:space="0" w:color="auto"/>
        <w:right w:val="none" w:sz="0" w:space="0" w:color="auto"/>
      </w:divBdr>
      <w:divsChild>
        <w:div w:id="787892609">
          <w:marLeft w:val="288"/>
          <w:marRight w:val="0"/>
          <w:marTop w:val="0"/>
          <w:marBottom w:val="80"/>
          <w:divBdr>
            <w:top w:val="none" w:sz="0" w:space="0" w:color="auto"/>
            <w:left w:val="none" w:sz="0" w:space="0" w:color="auto"/>
            <w:bottom w:val="none" w:sz="0" w:space="0" w:color="auto"/>
            <w:right w:val="none" w:sz="0" w:space="0" w:color="auto"/>
          </w:divBdr>
        </w:div>
        <w:div w:id="1889296025">
          <w:marLeft w:val="288"/>
          <w:marRight w:val="0"/>
          <w:marTop w:val="0"/>
          <w:marBottom w:val="80"/>
          <w:divBdr>
            <w:top w:val="none" w:sz="0" w:space="0" w:color="auto"/>
            <w:left w:val="none" w:sz="0" w:space="0" w:color="auto"/>
            <w:bottom w:val="none" w:sz="0" w:space="0" w:color="auto"/>
            <w:right w:val="none" w:sz="0" w:space="0" w:color="auto"/>
          </w:divBdr>
        </w:div>
        <w:div w:id="781270445">
          <w:marLeft w:val="288"/>
          <w:marRight w:val="0"/>
          <w:marTop w:val="0"/>
          <w:marBottom w:val="80"/>
          <w:divBdr>
            <w:top w:val="none" w:sz="0" w:space="0" w:color="auto"/>
            <w:left w:val="none" w:sz="0" w:space="0" w:color="auto"/>
            <w:bottom w:val="none" w:sz="0" w:space="0" w:color="auto"/>
            <w:right w:val="none" w:sz="0" w:space="0" w:color="auto"/>
          </w:divBdr>
        </w:div>
      </w:divsChild>
    </w:div>
    <w:div w:id="1208832225">
      <w:bodyDiv w:val="1"/>
      <w:marLeft w:val="0"/>
      <w:marRight w:val="0"/>
      <w:marTop w:val="0"/>
      <w:marBottom w:val="0"/>
      <w:divBdr>
        <w:top w:val="none" w:sz="0" w:space="0" w:color="auto"/>
        <w:left w:val="none" w:sz="0" w:space="0" w:color="auto"/>
        <w:bottom w:val="none" w:sz="0" w:space="0" w:color="auto"/>
        <w:right w:val="none" w:sz="0" w:space="0" w:color="auto"/>
      </w:divBdr>
    </w:div>
    <w:div w:id="1440953297">
      <w:bodyDiv w:val="1"/>
      <w:marLeft w:val="0"/>
      <w:marRight w:val="0"/>
      <w:marTop w:val="0"/>
      <w:marBottom w:val="0"/>
      <w:divBdr>
        <w:top w:val="none" w:sz="0" w:space="0" w:color="auto"/>
        <w:left w:val="none" w:sz="0" w:space="0" w:color="auto"/>
        <w:bottom w:val="none" w:sz="0" w:space="0" w:color="auto"/>
        <w:right w:val="none" w:sz="0" w:space="0" w:color="auto"/>
      </w:divBdr>
    </w:div>
    <w:div w:id="1682202604">
      <w:bodyDiv w:val="1"/>
      <w:marLeft w:val="0"/>
      <w:marRight w:val="0"/>
      <w:marTop w:val="0"/>
      <w:marBottom w:val="0"/>
      <w:divBdr>
        <w:top w:val="none" w:sz="0" w:space="0" w:color="auto"/>
        <w:left w:val="none" w:sz="0" w:space="0" w:color="auto"/>
        <w:bottom w:val="none" w:sz="0" w:space="0" w:color="auto"/>
        <w:right w:val="none" w:sz="0" w:space="0" w:color="auto"/>
      </w:divBdr>
    </w:div>
    <w:div w:id="1686127236">
      <w:bodyDiv w:val="1"/>
      <w:marLeft w:val="0"/>
      <w:marRight w:val="0"/>
      <w:marTop w:val="0"/>
      <w:marBottom w:val="0"/>
      <w:divBdr>
        <w:top w:val="none" w:sz="0" w:space="0" w:color="auto"/>
        <w:left w:val="none" w:sz="0" w:space="0" w:color="auto"/>
        <w:bottom w:val="none" w:sz="0" w:space="0" w:color="auto"/>
        <w:right w:val="none" w:sz="0" w:space="0" w:color="auto"/>
      </w:divBdr>
      <w:divsChild>
        <w:div w:id="1808205587">
          <w:marLeft w:val="0"/>
          <w:marRight w:val="0"/>
          <w:marTop w:val="0"/>
          <w:marBottom w:val="0"/>
          <w:divBdr>
            <w:top w:val="none" w:sz="0" w:space="0" w:color="auto"/>
            <w:left w:val="none" w:sz="0" w:space="0" w:color="auto"/>
            <w:bottom w:val="none" w:sz="0" w:space="0" w:color="auto"/>
            <w:right w:val="none" w:sz="0" w:space="0" w:color="auto"/>
          </w:divBdr>
          <w:divsChild>
            <w:div w:id="711883197">
              <w:marLeft w:val="0"/>
              <w:marRight w:val="0"/>
              <w:marTop w:val="0"/>
              <w:marBottom w:val="0"/>
              <w:divBdr>
                <w:top w:val="none" w:sz="0" w:space="0" w:color="auto"/>
                <w:left w:val="none" w:sz="0" w:space="0" w:color="auto"/>
                <w:bottom w:val="none" w:sz="0" w:space="0" w:color="auto"/>
                <w:right w:val="none" w:sz="0" w:space="0" w:color="auto"/>
              </w:divBdr>
              <w:divsChild>
                <w:div w:id="1891304082">
                  <w:marLeft w:val="0"/>
                  <w:marRight w:val="0"/>
                  <w:marTop w:val="0"/>
                  <w:marBottom w:val="0"/>
                  <w:divBdr>
                    <w:top w:val="none" w:sz="0" w:space="0" w:color="auto"/>
                    <w:left w:val="none" w:sz="0" w:space="0" w:color="auto"/>
                    <w:bottom w:val="none" w:sz="0" w:space="0" w:color="auto"/>
                    <w:right w:val="none" w:sz="0" w:space="0" w:color="auto"/>
                  </w:divBdr>
                  <w:divsChild>
                    <w:div w:id="1462459161">
                      <w:marLeft w:val="0"/>
                      <w:marRight w:val="0"/>
                      <w:marTop w:val="0"/>
                      <w:marBottom w:val="0"/>
                      <w:divBdr>
                        <w:top w:val="none" w:sz="0" w:space="0" w:color="auto"/>
                        <w:left w:val="none" w:sz="0" w:space="0" w:color="auto"/>
                        <w:bottom w:val="none" w:sz="0" w:space="0" w:color="auto"/>
                        <w:right w:val="none" w:sz="0" w:space="0" w:color="auto"/>
                      </w:divBdr>
                      <w:divsChild>
                        <w:div w:id="700475852">
                          <w:marLeft w:val="0"/>
                          <w:marRight w:val="0"/>
                          <w:marTop w:val="0"/>
                          <w:marBottom w:val="0"/>
                          <w:divBdr>
                            <w:top w:val="none" w:sz="0" w:space="0" w:color="auto"/>
                            <w:left w:val="none" w:sz="0" w:space="0" w:color="auto"/>
                            <w:bottom w:val="none" w:sz="0" w:space="0" w:color="auto"/>
                            <w:right w:val="none" w:sz="0" w:space="0" w:color="auto"/>
                          </w:divBdr>
                          <w:divsChild>
                            <w:div w:id="12635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56200">
      <w:bodyDiv w:val="1"/>
      <w:marLeft w:val="0"/>
      <w:marRight w:val="0"/>
      <w:marTop w:val="0"/>
      <w:marBottom w:val="0"/>
      <w:divBdr>
        <w:top w:val="none" w:sz="0" w:space="0" w:color="auto"/>
        <w:left w:val="none" w:sz="0" w:space="0" w:color="auto"/>
        <w:bottom w:val="none" w:sz="0" w:space="0" w:color="auto"/>
        <w:right w:val="none" w:sz="0" w:space="0" w:color="auto"/>
      </w:divBdr>
      <w:divsChild>
        <w:div w:id="1459226992">
          <w:marLeft w:val="288"/>
          <w:marRight w:val="0"/>
          <w:marTop w:val="0"/>
          <w:marBottom w:val="80"/>
          <w:divBdr>
            <w:top w:val="none" w:sz="0" w:space="0" w:color="auto"/>
            <w:left w:val="none" w:sz="0" w:space="0" w:color="auto"/>
            <w:bottom w:val="none" w:sz="0" w:space="0" w:color="auto"/>
            <w:right w:val="none" w:sz="0" w:space="0" w:color="auto"/>
          </w:divBdr>
        </w:div>
        <w:div w:id="1856116236">
          <w:marLeft w:val="288"/>
          <w:marRight w:val="0"/>
          <w:marTop w:val="0"/>
          <w:marBottom w:val="80"/>
          <w:divBdr>
            <w:top w:val="none" w:sz="0" w:space="0" w:color="auto"/>
            <w:left w:val="none" w:sz="0" w:space="0" w:color="auto"/>
            <w:bottom w:val="none" w:sz="0" w:space="0" w:color="auto"/>
            <w:right w:val="none" w:sz="0" w:space="0" w:color="auto"/>
          </w:divBdr>
        </w:div>
        <w:div w:id="364059416">
          <w:marLeft w:val="288"/>
          <w:marRight w:val="0"/>
          <w:marTop w:val="0"/>
          <w:marBottom w:val="80"/>
          <w:divBdr>
            <w:top w:val="none" w:sz="0" w:space="0" w:color="auto"/>
            <w:left w:val="none" w:sz="0" w:space="0" w:color="auto"/>
            <w:bottom w:val="none" w:sz="0" w:space="0" w:color="auto"/>
            <w:right w:val="none" w:sz="0" w:space="0" w:color="auto"/>
          </w:divBdr>
        </w:div>
      </w:divsChild>
    </w:div>
    <w:div w:id="1738089368">
      <w:bodyDiv w:val="1"/>
      <w:marLeft w:val="0"/>
      <w:marRight w:val="0"/>
      <w:marTop w:val="0"/>
      <w:marBottom w:val="0"/>
      <w:divBdr>
        <w:top w:val="none" w:sz="0" w:space="0" w:color="auto"/>
        <w:left w:val="none" w:sz="0" w:space="0" w:color="auto"/>
        <w:bottom w:val="none" w:sz="0" w:space="0" w:color="auto"/>
        <w:right w:val="none" w:sz="0" w:space="0" w:color="auto"/>
      </w:divBdr>
    </w:div>
    <w:div w:id="1943564461">
      <w:bodyDiv w:val="1"/>
      <w:marLeft w:val="0"/>
      <w:marRight w:val="0"/>
      <w:marTop w:val="0"/>
      <w:marBottom w:val="0"/>
      <w:divBdr>
        <w:top w:val="none" w:sz="0" w:space="0" w:color="auto"/>
        <w:left w:val="none" w:sz="0" w:space="0" w:color="auto"/>
        <w:bottom w:val="none" w:sz="0" w:space="0" w:color="auto"/>
        <w:right w:val="none" w:sz="0" w:space="0" w:color="auto"/>
      </w:divBdr>
    </w:div>
    <w:div w:id="2074237476">
      <w:bodyDiv w:val="1"/>
      <w:marLeft w:val="0"/>
      <w:marRight w:val="0"/>
      <w:marTop w:val="0"/>
      <w:marBottom w:val="0"/>
      <w:divBdr>
        <w:top w:val="none" w:sz="0" w:space="0" w:color="auto"/>
        <w:left w:val="none" w:sz="0" w:space="0" w:color="auto"/>
        <w:bottom w:val="none" w:sz="0" w:space="0" w:color="auto"/>
        <w:right w:val="none" w:sz="0" w:space="0" w:color="auto"/>
      </w:divBdr>
    </w:div>
    <w:div w:id="2125880434">
      <w:bodyDiv w:val="1"/>
      <w:marLeft w:val="0"/>
      <w:marRight w:val="0"/>
      <w:marTop w:val="0"/>
      <w:marBottom w:val="0"/>
      <w:divBdr>
        <w:top w:val="none" w:sz="0" w:space="0" w:color="auto"/>
        <w:left w:val="none" w:sz="0" w:space="0" w:color="auto"/>
        <w:bottom w:val="none" w:sz="0" w:space="0" w:color="auto"/>
        <w:right w:val="none" w:sz="0" w:space="0" w:color="auto"/>
      </w:divBdr>
      <w:divsChild>
        <w:div w:id="1542204979">
          <w:marLeft w:val="0"/>
          <w:marRight w:val="0"/>
          <w:marTop w:val="0"/>
          <w:marBottom w:val="0"/>
          <w:divBdr>
            <w:top w:val="none" w:sz="0" w:space="0" w:color="auto"/>
            <w:left w:val="none" w:sz="0" w:space="0" w:color="auto"/>
            <w:bottom w:val="none" w:sz="0" w:space="0" w:color="auto"/>
            <w:right w:val="none" w:sz="0" w:space="0" w:color="auto"/>
          </w:divBdr>
          <w:divsChild>
            <w:div w:id="1141967845">
              <w:marLeft w:val="0"/>
              <w:marRight w:val="0"/>
              <w:marTop w:val="0"/>
              <w:marBottom w:val="0"/>
              <w:divBdr>
                <w:top w:val="none" w:sz="0" w:space="0" w:color="auto"/>
                <w:left w:val="none" w:sz="0" w:space="0" w:color="auto"/>
                <w:bottom w:val="none" w:sz="0" w:space="0" w:color="auto"/>
                <w:right w:val="none" w:sz="0" w:space="0" w:color="auto"/>
              </w:divBdr>
              <w:divsChild>
                <w:div w:id="1444224674">
                  <w:marLeft w:val="0"/>
                  <w:marRight w:val="0"/>
                  <w:marTop w:val="0"/>
                  <w:marBottom w:val="0"/>
                  <w:divBdr>
                    <w:top w:val="none" w:sz="0" w:space="0" w:color="auto"/>
                    <w:left w:val="none" w:sz="0" w:space="0" w:color="auto"/>
                    <w:bottom w:val="none" w:sz="0" w:space="0" w:color="auto"/>
                    <w:right w:val="none" w:sz="0" w:space="0" w:color="auto"/>
                  </w:divBdr>
                  <w:divsChild>
                    <w:div w:id="18216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mailto:presse.realestate@realestate.bnpparibas"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s://www.instagram.com/bnppre/?hl=fr"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presse.realestate@realestate.bnpparib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goo.gl/DwYECv"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61FF3-4EFD-4E0C-87B5-7FE4E59C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1269</Words>
  <Characters>6985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JULIENNE</dc:creator>
  <cp:lastModifiedBy>Camille VERHEYDEN</cp:lastModifiedBy>
  <cp:revision>5</cp:revision>
  <cp:lastPrinted>2017-01-05T09:50:00Z</cp:lastPrinted>
  <dcterms:created xsi:type="dcterms:W3CDTF">2024-09-12T14:11:00Z</dcterms:created>
  <dcterms:modified xsi:type="dcterms:W3CDTF">2024-09-20T08:25:00Z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2022-03-22T15:04:34Z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701a12f8-56de-432e-9945-65ac6947e259</vt:lpwstr>
  </property>
  <property fmtid="{D5CDD505-2E9C-101B-9397-08002B2CF9AE}" pid="8" name="MSIP_Label_812e1ed0-4700-41e0-aec3-61ed249f3333_ContentBits">
    <vt:lpwstr>2</vt:lpwstr>
  </property>
</Properties>
</file>